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40" w:rsidRDefault="00D77840" w:rsidP="00D77840">
      <w:pPr>
        <w:pStyle w:val="a3"/>
        <w:spacing w:before="109" w:line="264" w:lineRule="auto"/>
        <w:ind w:right="132"/>
        <w:jc w:val="center"/>
        <w:rPr>
          <w:b/>
        </w:rPr>
      </w:pPr>
      <w:r>
        <w:rPr>
          <w:b/>
        </w:rPr>
        <w:t>МЕТОДИЧЕСКИЕ РЕКОМЕНДАЦИИ ПО ОРГАНИЗАЦИИ ИЗУЧЕНИЯ ДИСЦИПЛИНЫ «ПЕДИАТРИЯ» В ОРДИНАТУРЕ</w:t>
      </w:r>
    </w:p>
    <w:p w:rsidR="00D77840" w:rsidRPr="00D77840" w:rsidRDefault="00D77840" w:rsidP="00D77840">
      <w:pPr>
        <w:pStyle w:val="a3"/>
        <w:spacing w:before="109" w:line="264" w:lineRule="auto"/>
        <w:ind w:left="709" w:right="132" w:firstLine="709"/>
        <w:jc w:val="both"/>
      </w:pPr>
      <w:r w:rsidRPr="00D77840">
        <w:t>Используются методические рекомендации Минздрава РФ по вопросам диагностики, современного лечения и профилактики отдельных болезней.</w:t>
      </w:r>
    </w:p>
    <w:p w:rsidR="00566CC3" w:rsidRDefault="00D77840" w:rsidP="00D77840">
      <w:pPr>
        <w:pStyle w:val="a3"/>
        <w:spacing w:before="109" w:line="264" w:lineRule="auto"/>
        <w:ind w:left="709" w:right="132" w:firstLine="709"/>
        <w:jc w:val="both"/>
      </w:pPr>
      <w:r>
        <w:rPr>
          <w:b/>
        </w:rPr>
        <w:t xml:space="preserve">Индивидуальный план </w:t>
      </w:r>
      <w:r>
        <w:t>составляется на основе «Типового учебного плана и программы» с учетом реальных возможностей базового учреждения, будущего места работы молодого специалиста.</w:t>
      </w:r>
    </w:p>
    <w:p w:rsidR="00566CC3" w:rsidRDefault="00D77840" w:rsidP="00D77840">
      <w:pPr>
        <w:pStyle w:val="a3"/>
        <w:spacing w:before="83" w:line="264" w:lineRule="auto"/>
        <w:ind w:left="709" w:right="130" w:firstLine="709"/>
        <w:jc w:val="both"/>
      </w:pPr>
      <w:r>
        <w:t>Усвоение практических навыков врачом-ординатором обеспечивается во время работы</w:t>
      </w:r>
      <w:r>
        <w:t xml:space="preserve"> на рабочем месте.</w:t>
      </w:r>
    </w:p>
    <w:p w:rsidR="00566CC3" w:rsidRDefault="00D77840" w:rsidP="00D77840">
      <w:pPr>
        <w:spacing w:before="89" w:line="261" w:lineRule="auto"/>
        <w:ind w:left="709" w:right="143" w:firstLine="709"/>
        <w:jc w:val="both"/>
        <w:rPr>
          <w:sz w:val="24"/>
        </w:rPr>
      </w:pPr>
      <w:r>
        <w:rPr>
          <w:b/>
          <w:sz w:val="24"/>
        </w:rPr>
        <w:t>Овладение навыков необходимо оценивать на всех этапах подготовки специалиста</w:t>
      </w:r>
      <w:r>
        <w:rPr>
          <w:sz w:val="24"/>
        </w:rPr>
        <w:t>: вначале ординатуры, при сдаче зачетов по разделам программы, на квартальных аттестациях, в ходе реферативных докладов и на заключительном экзамене.</w:t>
      </w:r>
    </w:p>
    <w:p w:rsidR="00566CC3" w:rsidRDefault="00D77840" w:rsidP="00D77840">
      <w:pPr>
        <w:pStyle w:val="a3"/>
        <w:spacing w:before="72" w:line="266" w:lineRule="auto"/>
        <w:ind w:left="709" w:right="131" w:firstLine="709"/>
        <w:jc w:val="both"/>
      </w:pPr>
      <w:r>
        <w:rPr>
          <w:b/>
        </w:rPr>
        <w:t xml:space="preserve">Все виды контроля </w:t>
      </w:r>
      <w:r>
        <w:t xml:space="preserve">за ходом подготовки следует отражать в дневниках работы </w:t>
      </w:r>
      <w:r>
        <w:rPr>
          <w:spacing w:val="-2"/>
        </w:rPr>
        <w:t>врачей-ординаторов.</w:t>
      </w:r>
    </w:p>
    <w:p w:rsidR="00566CC3" w:rsidRDefault="00D77840" w:rsidP="00D77840">
      <w:pPr>
        <w:pStyle w:val="a3"/>
        <w:spacing w:before="79" w:line="264" w:lineRule="auto"/>
        <w:ind w:left="709" w:right="142" w:firstLine="709"/>
        <w:jc w:val="both"/>
      </w:pPr>
      <w:r>
        <w:t>Все записи ординатора в дневник визируются непосредственным руководителем (куратором) подготовки специалиста. Итоги аттестации оценивает и оформляет преподаватель</w:t>
      </w:r>
      <w:r>
        <w:t xml:space="preserve"> кафедры.</w:t>
      </w:r>
    </w:p>
    <w:p w:rsidR="00566CC3" w:rsidRDefault="00D77840" w:rsidP="00D77840">
      <w:pPr>
        <w:pStyle w:val="a3"/>
        <w:spacing w:before="83" w:line="264" w:lineRule="auto"/>
        <w:ind w:left="709" w:right="123" w:firstLine="709"/>
        <w:jc w:val="both"/>
      </w:pPr>
      <w:r>
        <w:t>Важным</w:t>
      </w:r>
      <w:r>
        <w:rPr>
          <w:spacing w:val="-2"/>
        </w:rPr>
        <w:t xml:space="preserve"> </w:t>
      </w:r>
      <w:r>
        <w:t>этапом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врача-ординатора</w:t>
      </w:r>
      <w:r>
        <w:rPr>
          <w:spacing w:val="-15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научной литературой по специальной и смежным дисциплинам и подготовка рефератов, докладов, презентаций по прочитанной литературе. За период обучения врач-ординатор пишет</w:t>
      </w:r>
      <w:r>
        <w:t xml:space="preserve"> рефераты, готовит доклады и презентации по своей специальности. Темы рефератов, докладов, презентаций врач-ординатор выбирает с первых дней изучения того или иного раздела</w:t>
      </w:r>
      <w:r>
        <w:rPr>
          <w:spacing w:val="-10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плана,</w:t>
      </w:r>
      <w:r>
        <w:rPr>
          <w:spacing w:val="-11"/>
        </w:rPr>
        <w:t xml:space="preserve"> </w:t>
      </w:r>
      <w:r>
        <w:t>стремясь</w:t>
      </w:r>
      <w:r>
        <w:rPr>
          <w:spacing w:val="-14"/>
        </w:rPr>
        <w:t xml:space="preserve"> </w:t>
      </w:r>
      <w:r>
        <w:t>сформулировать</w:t>
      </w:r>
      <w:r>
        <w:rPr>
          <w:spacing w:val="-11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максимально</w:t>
      </w:r>
      <w:r>
        <w:rPr>
          <w:spacing w:val="-5"/>
        </w:rPr>
        <w:t xml:space="preserve"> </w:t>
      </w:r>
      <w:r>
        <w:t>конкретно,</w:t>
      </w:r>
      <w:r>
        <w:rPr>
          <w:spacing w:val="-15"/>
        </w:rPr>
        <w:t xml:space="preserve"> </w:t>
      </w:r>
      <w:r>
        <w:t>ориентирует на кл</w:t>
      </w:r>
      <w:r>
        <w:t>инические аспекты, проблемы, диагностику (в том числе раннюю, экспрессную) и терапию (в том числе интенсивную), вопросы диспансеризации и реабилитации.</w:t>
      </w:r>
    </w:p>
    <w:p w:rsidR="00566CC3" w:rsidRDefault="00D77840" w:rsidP="00D77840">
      <w:pPr>
        <w:pStyle w:val="a3"/>
        <w:spacing w:before="73" w:line="264" w:lineRule="auto"/>
        <w:ind w:left="709" w:right="132" w:firstLine="709"/>
        <w:jc w:val="both"/>
      </w:pPr>
      <w:r>
        <w:t>При разборе реферата ординатора, руководитель должен оценить соответствие содержания выбранной теме, объ</w:t>
      </w:r>
      <w:r>
        <w:t>ем представленной информации и ее новизну, актуальность для практической деятельности, ясность изложения, правильность оформления списка литературы в соответствии с библиографическими требованиями, а также изложить свои замечания и пожелания. Полезно испол</w:t>
      </w:r>
      <w:r>
        <w:t>ьзовать практику предварительного перекрестного рецензирования рефератов другими ординаторами, обучающимися на базе.</w:t>
      </w:r>
    </w:p>
    <w:p w:rsidR="00566CC3" w:rsidRDefault="00D77840" w:rsidP="00D77840">
      <w:pPr>
        <w:pStyle w:val="a3"/>
        <w:spacing w:before="88"/>
        <w:ind w:left="709" w:firstLine="709"/>
        <w:jc w:val="both"/>
      </w:pPr>
      <w:r>
        <w:t>Лучшие</w:t>
      </w:r>
      <w:r>
        <w:rPr>
          <w:spacing w:val="-9"/>
        </w:rPr>
        <w:t xml:space="preserve"> </w:t>
      </w:r>
      <w:r>
        <w:t>рефераты можно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сообщения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конференциях.</w:t>
      </w:r>
    </w:p>
    <w:p w:rsidR="00566CC3" w:rsidRDefault="00D77840" w:rsidP="00D77840">
      <w:pPr>
        <w:pStyle w:val="a3"/>
        <w:spacing w:before="108" w:line="264" w:lineRule="auto"/>
        <w:ind w:left="709" w:right="133" w:firstLine="709"/>
        <w:jc w:val="both"/>
      </w:pPr>
      <w:r>
        <w:rPr>
          <w:b/>
        </w:rPr>
        <w:t xml:space="preserve">Клинический разбор </w:t>
      </w:r>
      <w:r>
        <w:t xml:space="preserve">– обязательная форма работы с ординаторами, предметом </w:t>
      </w:r>
      <w:r>
        <w:t>клинического</w:t>
      </w:r>
      <w:r>
        <w:rPr>
          <w:spacing w:val="-10"/>
        </w:rPr>
        <w:t xml:space="preserve"> </w:t>
      </w:r>
      <w:r>
        <w:t>разбора</w:t>
      </w:r>
      <w:r>
        <w:rPr>
          <w:spacing w:val="-15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наиболее</w:t>
      </w:r>
      <w:r>
        <w:rPr>
          <w:spacing w:val="-13"/>
        </w:rPr>
        <w:t xml:space="preserve"> </w:t>
      </w:r>
      <w:r>
        <w:t>сложные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диагностическом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терапевтическом отношении</w:t>
      </w:r>
      <w:r>
        <w:rPr>
          <w:spacing w:val="-8"/>
        </w:rPr>
        <w:t xml:space="preserve"> </w:t>
      </w:r>
      <w:r>
        <w:t>случаи</w:t>
      </w:r>
      <w:r>
        <w:rPr>
          <w:spacing w:val="-1"/>
        </w:rPr>
        <w:t xml:space="preserve"> </w:t>
      </w:r>
      <w:r>
        <w:t>заболевания,</w:t>
      </w:r>
      <w:r>
        <w:rPr>
          <w:spacing w:val="-11"/>
        </w:rPr>
        <w:t xml:space="preserve"> </w:t>
      </w:r>
      <w:r>
        <w:t>осложненные</w:t>
      </w:r>
      <w:r>
        <w:rPr>
          <w:spacing w:val="-15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особенностями тактики</w:t>
      </w:r>
      <w:r>
        <w:rPr>
          <w:spacing w:val="-9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ведения, истории болезни умерших больных. Разборы следует проводить не реже 1 раза в месяц с тем</w:t>
      </w:r>
      <w:r>
        <w:t>, чтобы все участники разбора могли подготовиться.</w:t>
      </w:r>
    </w:p>
    <w:p w:rsidR="00566CC3" w:rsidRDefault="00D77840" w:rsidP="00D77840">
      <w:pPr>
        <w:pStyle w:val="a3"/>
        <w:spacing w:before="81" w:line="264" w:lineRule="auto"/>
        <w:ind w:left="709" w:right="138" w:firstLine="709"/>
        <w:jc w:val="both"/>
      </w:pPr>
      <w:r>
        <w:t>Клинический разбор проводят профессора, доценты, ассистенты кафедр, руководители подготовки ординаторов. Тема и дата проведения разбора сообщаются всем участникам заблаговременно, тогда же ординаторы получ</w:t>
      </w:r>
      <w:r>
        <w:t>ают индивидуальные задания: подготовить демонстрацию больного, необходимые иллюстрации (таблицы, слайды, графики и т.п.). Ход подготовки материалов к разбору контролируется руководителем ординатора для своевременного исправления недостатков и помощи.</w:t>
      </w:r>
    </w:p>
    <w:p w:rsidR="00566CC3" w:rsidRDefault="00566CC3">
      <w:pPr>
        <w:pStyle w:val="a3"/>
        <w:spacing w:line="264" w:lineRule="auto"/>
        <w:jc w:val="both"/>
        <w:sectPr w:rsidR="00566CC3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566CC3" w:rsidRDefault="00D77840" w:rsidP="00D77840">
      <w:pPr>
        <w:pStyle w:val="a3"/>
        <w:spacing w:before="62" w:line="264" w:lineRule="auto"/>
        <w:ind w:left="709" w:right="122" w:firstLine="709"/>
        <w:jc w:val="both"/>
      </w:pPr>
      <w:r>
        <w:lastRenderedPageBreak/>
        <w:t xml:space="preserve">Прогрессивной формой подготовки ординатора является </w:t>
      </w:r>
      <w:r>
        <w:rPr>
          <w:b/>
        </w:rPr>
        <w:t xml:space="preserve">участие в научно-практической работе </w:t>
      </w:r>
      <w:r>
        <w:t>для приобретения навыков самостоятельной творческой работы, повышения интереса к избранной специальности, углубления знаний и умений,</w:t>
      </w:r>
      <w:r>
        <w:t xml:space="preserve"> формирования способности к анализу выявленных факторов и их клинической </w:t>
      </w:r>
      <w:r>
        <w:rPr>
          <w:spacing w:val="-2"/>
        </w:rPr>
        <w:t>интерпретации.</w:t>
      </w:r>
    </w:p>
    <w:p w:rsidR="00566CC3" w:rsidRDefault="00D77840" w:rsidP="00D77840">
      <w:pPr>
        <w:pStyle w:val="a3"/>
        <w:spacing w:before="82" w:line="264" w:lineRule="auto"/>
        <w:ind w:left="709" w:right="139" w:firstLine="709"/>
        <w:jc w:val="both"/>
      </w:pPr>
      <w:r>
        <w:t xml:space="preserve">В качестве основных форм научно-практической работы ординатора можно </w:t>
      </w:r>
      <w:r>
        <w:rPr>
          <w:spacing w:val="-2"/>
        </w:rPr>
        <w:t>использовать:</w:t>
      </w:r>
    </w:p>
    <w:p w:rsidR="00566CC3" w:rsidRDefault="00D77840" w:rsidP="00D77840">
      <w:pPr>
        <w:pStyle w:val="a4"/>
        <w:numPr>
          <w:ilvl w:val="0"/>
          <w:numId w:val="1"/>
        </w:numPr>
        <w:tabs>
          <w:tab w:val="left" w:pos="1494"/>
        </w:tabs>
        <w:spacing w:before="81" w:line="261" w:lineRule="auto"/>
        <w:ind w:left="709" w:right="308" w:firstLine="709"/>
        <w:rPr>
          <w:sz w:val="24"/>
        </w:rPr>
      </w:pPr>
      <w:r>
        <w:rPr>
          <w:sz w:val="24"/>
        </w:rPr>
        <w:t>изучение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нозологических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материалам данного стационара,</w:t>
      </w:r>
      <w:bookmarkStart w:id="0" w:name="_GoBack"/>
      <w:bookmarkEnd w:id="0"/>
    </w:p>
    <w:p w:rsidR="00566CC3" w:rsidRDefault="00D77840" w:rsidP="00D77840">
      <w:pPr>
        <w:pStyle w:val="a4"/>
        <w:numPr>
          <w:ilvl w:val="0"/>
          <w:numId w:val="1"/>
        </w:numPr>
        <w:tabs>
          <w:tab w:val="left" w:pos="1494"/>
          <w:tab w:val="left" w:pos="2497"/>
          <w:tab w:val="left" w:pos="4691"/>
          <w:tab w:val="left" w:pos="5100"/>
          <w:tab w:val="left" w:pos="6607"/>
          <w:tab w:val="left" w:pos="8115"/>
          <w:tab w:val="left" w:pos="9220"/>
          <w:tab w:val="left" w:pos="10377"/>
        </w:tabs>
        <w:spacing w:before="84" w:line="256" w:lineRule="auto"/>
        <w:ind w:left="709" w:right="148" w:firstLine="709"/>
        <w:rPr>
          <w:sz w:val="24"/>
        </w:rPr>
      </w:pPr>
      <w:r>
        <w:rPr>
          <w:spacing w:val="-2"/>
          <w:sz w:val="24"/>
        </w:rPr>
        <w:t>оценку</w:t>
      </w:r>
      <w:r>
        <w:rPr>
          <w:sz w:val="24"/>
        </w:rPr>
        <w:tab/>
      </w:r>
      <w:r>
        <w:rPr>
          <w:spacing w:val="-2"/>
          <w:sz w:val="24"/>
        </w:rPr>
        <w:t>непосредственных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отдаленных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лечения</w:t>
      </w:r>
      <w:r>
        <w:rPr>
          <w:sz w:val="24"/>
        </w:rPr>
        <w:tab/>
      </w:r>
      <w:r>
        <w:rPr>
          <w:spacing w:val="-2"/>
          <w:sz w:val="24"/>
        </w:rPr>
        <w:t>больных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использованием новых средств терапии или комплекса терапевтических мероприятий,</w:t>
      </w:r>
    </w:p>
    <w:p w:rsidR="00566CC3" w:rsidRDefault="00D77840" w:rsidP="00D77840">
      <w:pPr>
        <w:pStyle w:val="a4"/>
        <w:numPr>
          <w:ilvl w:val="0"/>
          <w:numId w:val="1"/>
        </w:numPr>
        <w:tabs>
          <w:tab w:val="left" w:pos="1494"/>
        </w:tabs>
        <w:spacing w:before="91" w:line="261" w:lineRule="auto"/>
        <w:ind w:left="709" w:right="290" w:firstLine="709"/>
        <w:rPr>
          <w:sz w:val="24"/>
        </w:rPr>
      </w:pPr>
      <w:r>
        <w:rPr>
          <w:sz w:val="24"/>
        </w:rPr>
        <w:t>анализ</w:t>
      </w:r>
      <w:r>
        <w:rPr>
          <w:spacing w:val="7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диагностике,</w:t>
      </w:r>
      <w:r>
        <w:rPr>
          <w:spacing w:val="77"/>
          <w:sz w:val="24"/>
        </w:rPr>
        <w:t xml:space="preserve"> </w:t>
      </w:r>
      <w:r>
        <w:rPr>
          <w:sz w:val="24"/>
        </w:rPr>
        <w:t>терапии,</w:t>
      </w:r>
      <w:r>
        <w:rPr>
          <w:spacing w:val="76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79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смертности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ст</w:t>
      </w:r>
      <w:r>
        <w:rPr>
          <w:spacing w:val="-2"/>
          <w:sz w:val="24"/>
        </w:rPr>
        <w:t>ационаре,</w:t>
      </w:r>
    </w:p>
    <w:p w:rsidR="00566CC3" w:rsidRDefault="00D77840" w:rsidP="00D77840">
      <w:pPr>
        <w:pStyle w:val="a4"/>
        <w:numPr>
          <w:ilvl w:val="0"/>
          <w:numId w:val="1"/>
        </w:numPr>
        <w:tabs>
          <w:tab w:val="left" w:pos="1494"/>
        </w:tabs>
        <w:ind w:left="709" w:firstLine="709"/>
        <w:rPr>
          <w:sz w:val="24"/>
        </w:rPr>
      </w:pPr>
      <w:r>
        <w:rPr>
          <w:spacing w:val="-2"/>
          <w:sz w:val="24"/>
        </w:rPr>
        <w:t>разработку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данных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внедрения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новых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диагностики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терапии,</w:t>
      </w:r>
    </w:p>
    <w:p w:rsidR="00566CC3" w:rsidRDefault="00D77840" w:rsidP="00D77840">
      <w:pPr>
        <w:pStyle w:val="a4"/>
        <w:numPr>
          <w:ilvl w:val="0"/>
          <w:numId w:val="1"/>
        </w:numPr>
        <w:tabs>
          <w:tab w:val="left" w:pos="1494"/>
        </w:tabs>
        <w:spacing w:before="105" w:line="261" w:lineRule="auto"/>
        <w:ind w:left="709" w:right="359" w:firstLine="709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месяц</w:t>
      </w:r>
      <w:r>
        <w:rPr>
          <w:spacing w:val="-4"/>
          <w:sz w:val="24"/>
        </w:rPr>
        <w:t xml:space="preserve"> </w:t>
      </w:r>
      <w:r>
        <w:rPr>
          <w:sz w:val="24"/>
        </w:rPr>
        <w:t>(квартал,</w:t>
      </w:r>
      <w:r>
        <w:rPr>
          <w:spacing w:val="27"/>
          <w:sz w:val="24"/>
        </w:rPr>
        <w:t xml:space="preserve"> </w:t>
      </w:r>
      <w:r>
        <w:rPr>
          <w:sz w:val="24"/>
        </w:rPr>
        <w:t>полугодие, год) и участие в составлении отчетов отделения.</w:t>
      </w:r>
    </w:p>
    <w:p w:rsidR="00566CC3" w:rsidRDefault="00D77840" w:rsidP="00D77840">
      <w:pPr>
        <w:pStyle w:val="a3"/>
        <w:spacing w:before="73" w:line="264" w:lineRule="auto"/>
        <w:ind w:left="709" w:right="129" w:firstLine="709"/>
        <w:jc w:val="both"/>
      </w:pPr>
      <w:r>
        <w:t xml:space="preserve">Суммарная оценка </w:t>
      </w:r>
      <w:r>
        <w:rPr>
          <w:b/>
        </w:rPr>
        <w:t>зачета (аттестации</w:t>
      </w:r>
      <w:r>
        <w:t>) в баллах отражается в дневнике с указанием недостатков и рекомендации по их устранению. При последующих зачетах руководитель ординатора выясняет, удалось ли ординатору повысить уровень профессиональных знаний и практических навыков по э</w:t>
      </w:r>
      <w:r>
        <w:t>тому разделу.</w:t>
      </w:r>
    </w:p>
    <w:p w:rsidR="00566CC3" w:rsidRDefault="00D77840" w:rsidP="00D77840">
      <w:pPr>
        <w:pStyle w:val="a3"/>
        <w:spacing w:before="82" w:line="266" w:lineRule="auto"/>
        <w:ind w:left="709" w:right="148" w:firstLine="709"/>
        <w:jc w:val="both"/>
      </w:pPr>
      <w:r>
        <w:t>Аналогичный принцип необходимо применять при построении вопросов собеседования на заключительном экзамене.</w:t>
      </w:r>
    </w:p>
    <w:p w:rsidR="00566CC3" w:rsidRDefault="00D77840" w:rsidP="00D77840">
      <w:pPr>
        <w:pStyle w:val="a3"/>
        <w:spacing w:before="73" w:line="264" w:lineRule="auto"/>
        <w:ind w:left="709" w:right="130" w:firstLine="709"/>
        <w:jc w:val="both"/>
      </w:pPr>
      <w:r>
        <w:t>Экзамен на право самостоятельной работы врачом-педиатром целесообразно проводить в три этапа. На первом этапе проводится тестовый контр</w:t>
      </w:r>
      <w:r>
        <w:t>оль знаний, на втором проверяется способность врача-ординатора выполнять различные манипуляции, согласно перечню навыков и</w:t>
      </w:r>
      <w:r>
        <w:rPr>
          <w:spacing w:val="-5"/>
        </w:rPr>
        <w:t xml:space="preserve"> </w:t>
      </w:r>
      <w:r>
        <w:t>умений, 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его деятельности,</w:t>
      </w:r>
      <w:r>
        <w:rPr>
          <w:spacing w:val="-1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в баллах. Третий этап проводится в форме собеседования ординатора с членами</w:t>
      </w:r>
      <w:r>
        <w:t xml:space="preserve"> экзаменационной комиссии.</w:t>
      </w:r>
      <w:r>
        <w:rPr>
          <w:spacing w:val="-5"/>
        </w:rPr>
        <w:t xml:space="preserve"> </w:t>
      </w:r>
      <w:r>
        <w:t>Суммарная</w:t>
      </w:r>
      <w:r>
        <w:rPr>
          <w:spacing w:val="-5"/>
        </w:rPr>
        <w:t xml:space="preserve"> </w:t>
      </w:r>
      <w:r>
        <w:t>оценка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баллах</w:t>
      </w:r>
      <w:r>
        <w:rPr>
          <w:spacing w:val="-15"/>
        </w:rPr>
        <w:t xml:space="preserve"> </w:t>
      </w:r>
      <w:r>
        <w:t>выставляется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протоколе</w:t>
      </w:r>
      <w:r>
        <w:rPr>
          <w:spacing w:val="-6"/>
        </w:rPr>
        <w:t xml:space="preserve"> </w:t>
      </w:r>
      <w:r>
        <w:t>экзамена,</w:t>
      </w:r>
      <w:r>
        <w:rPr>
          <w:spacing w:val="-4"/>
        </w:rPr>
        <w:t xml:space="preserve"> </w:t>
      </w:r>
      <w:r>
        <w:t>там</w:t>
      </w:r>
      <w:r>
        <w:rPr>
          <w:spacing w:val="-10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делается запись о возможности самостоятельной работы ординатора по специальности.</w:t>
      </w:r>
    </w:p>
    <w:p w:rsidR="00566CC3" w:rsidRDefault="00566CC3" w:rsidP="00D77840">
      <w:pPr>
        <w:pStyle w:val="a3"/>
        <w:ind w:left="709" w:firstLine="709"/>
      </w:pPr>
    </w:p>
    <w:p w:rsidR="00566CC3" w:rsidRDefault="00566CC3" w:rsidP="00D77840">
      <w:pPr>
        <w:pStyle w:val="a3"/>
        <w:spacing w:before="175"/>
        <w:ind w:left="709" w:firstLine="709"/>
      </w:pPr>
    </w:p>
    <w:p w:rsidR="00566CC3" w:rsidRDefault="00D77840" w:rsidP="00D77840">
      <w:pPr>
        <w:pStyle w:val="1"/>
        <w:ind w:left="709" w:firstLine="709"/>
      </w:pPr>
      <w:bookmarkStart w:id="1" w:name="МЕТОДИЧЕСКИЕ_РЕКОМЕНДАЦИИ_ПО_ОРГАНИЗАЦИИ"/>
      <w:bookmarkEnd w:id="1"/>
      <w:r>
        <w:t>МЕТОДИЧЕСКИЕ</w:t>
      </w:r>
      <w:r>
        <w:rPr>
          <w:spacing w:val="-10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rPr>
          <w:spacing w:val="-2"/>
        </w:rPr>
        <w:t>ПРАКТИКИ</w:t>
      </w:r>
    </w:p>
    <w:p w:rsidR="00566CC3" w:rsidRDefault="00D77840" w:rsidP="00D77840">
      <w:pPr>
        <w:pStyle w:val="a3"/>
        <w:spacing w:before="115" w:line="237" w:lineRule="auto"/>
        <w:ind w:left="709" w:firstLine="709"/>
      </w:pPr>
      <w:r>
        <w:t>Целью</w:t>
      </w:r>
      <w:r>
        <w:rPr>
          <w:spacing w:val="-15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готовности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осуществлению профессиональной деятельности, а ее проведение должно обеспечивать непрерывность и последовательность</w:t>
      </w:r>
      <w:r>
        <w:rPr>
          <w:spacing w:val="-7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обучающимся навыками профессиональной деятельности.</w:t>
      </w:r>
    </w:p>
    <w:p w:rsidR="00566CC3" w:rsidRDefault="00D77840" w:rsidP="00D77840">
      <w:pPr>
        <w:pStyle w:val="a3"/>
        <w:spacing w:before="129" w:line="242" w:lineRule="auto"/>
        <w:ind w:left="709" w:firstLine="709"/>
      </w:pPr>
      <w:r>
        <w:t>Согласно федеральным государственным тре</w:t>
      </w:r>
      <w:r>
        <w:t>бованиям к структуре основной профессиональной</w:t>
      </w:r>
      <w:r>
        <w:rPr>
          <w:spacing w:val="-19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послевузовского</w:t>
      </w:r>
      <w:r>
        <w:rPr>
          <w:spacing w:val="-15"/>
        </w:rPr>
        <w:t xml:space="preserve"> </w:t>
      </w:r>
      <w:r>
        <w:t>профессионального</w:t>
      </w:r>
    </w:p>
    <w:p w:rsidR="00566CC3" w:rsidRDefault="00D77840" w:rsidP="00D77840">
      <w:pPr>
        <w:pStyle w:val="a3"/>
        <w:spacing w:line="242" w:lineRule="auto"/>
        <w:ind w:left="709" w:firstLine="709"/>
      </w:pPr>
      <w:r>
        <w:t>образования,</w:t>
      </w:r>
      <w:r>
        <w:rPr>
          <w:spacing w:val="-3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ординатора</w:t>
      </w:r>
      <w:r>
        <w:rPr>
          <w:spacing w:val="-8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66</w:t>
      </w:r>
      <w:r>
        <w:rPr>
          <w:spacing w:val="-12"/>
        </w:rPr>
        <w:t xml:space="preserve"> </w:t>
      </w:r>
      <w:r>
        <w:t>зачетных</w:t>
      </w:r>
      <w:r>
        <w:rPr>
          <w:spacing w:val="-11"/>
        </w:rPr>
        <w:t xml:space="preserve"> </w:t>
      </w:r>
      <w:r>
        <w:t>единиц.</w:t>
      </w:r>
      <w:r>
        <w:rPr>
          <w:spacing w:val="-9"/>
        </w:rPr>
        <w:t xml:space="preserve"> </w:t>
      </w:r>
      <w:r>
        <w:t>При этом программа практики предполагает необходимость строгого собл</w:t>
      </w:r>
      <w:r>
        <w:t>юдения</w:t>
      </w:r>
    </w:p>
    <w:p w:rsidR="00566CC3" w:rsidRDefault="00D77840" w:rsidP="00D77840">
      <w:pPr>
        <w:pStyle w:val="a3"/>
        <w:ind w:left="709" w:right="113" w:firstLine="709"/>
      </w:pPr>
      <w:r>
        <w:t>последовательности</w:t>
      </w:r>
      <w:r>
        <w:rPr>
          <w:spacing w:val="-15"/>
        </w:rPr>
        <w:t xml:space="preserve"> </w:t>
      </w:r>
      <w:r>
        <w:t>освоения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программы,</w:t>
      </w:r>
      <w:r>
        <w:rPr>
          <w:spacing w:val="-12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именно: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практике</w:t>
      </w:r>
      <w:r>
        <w:rPr>
          <w:spacing w:val="-8"/>
        </w:rPr>
        <w:t xml:space="preserve"> </w:t>
      </w:r>
      <w:r>
        <w:t>могут быть допущены лица, успешно освоившие дисциплины образовательной программы (обязательные и факультативные).</w:t>
      </w:r>
    </w:p>
    <w:p w:rsidR="00566CC3" w:rsidRDefault="00D77840" w:rsidP="00D77840">
      <w:pPr>
        <w:pStyle w:val="a3"/>
        <w:spacing w:before="112" w:line="275" w:lineRule="exact"/>
        <w:ind w:left="709" w:firstLine="709"/>
      </w:pPr>
      <w:r>
        <w:t>При</w:t>
      </w:r>
      <w:r>
        <w:rPr>
          <w:spacing w:val="-8"/>
        </w:rPr>
        <w:t xml:space="preserve"> </w:t>
      </w:r>
      <w:r>
        <w:t>прохождении</w:t>
      </w:r>
      <w:r>
        <w:rPr>
          <w:spacing w:val="-7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проводится</w:t>
      </w:r>
    </w:p>
    <w:p w:rsidR="00566CC3" w:rsidRDefault="00D77840" w:rsidP="00D77840">
      <w:pPr>
        <w:pStyle w:val="a3"/>
        <w:spacing w:line="242" w:lineRule="auto"/>
        <w:ind w:left="709" w:firstLine="709"/>
      </w:pPr>
      <w:r>
        <w:t>отработка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закрепление</w:t>
      </w:r>
      <w:r>
        <w:rPr>
          <w:spacing w:val="-12"/>
        </w:rPr>
        <w:t xml:space="preserve"> </w:t>
      </w:r>
      <w:r>
        <w:t>профессиональных</w:t>
      </w:r>
      <w:r>
        <w:rPr>
          <w:spacing w:val="-15"/>
        </w:rPr>
        <w:t xml:space="preserve"> </w:t>
      </w:r>
      <w:r>
        <w:t>навыков.</w:t>
      </w:r>
      <w:r>
        <w:rPr>
          <w:spacing w:val="-10"/>
        </w:rPr>
        <w:t xml:space="preserve"> </w:t>
      </w:r>
      <w:r>
        <w:t>Выполнение</w:t>
      </w:r>
      <w:r>
        <w:rPr>
          <w:spacing w:val="-15"/>
        </w:rPr>
        <w:t xml:space="preserve"> </w:t>
      </w:r>
      <w:r>
        <w:t>ординатором</w:t>
      </w:r>
      <w:r>
        <w:rPr>
          <w:spacing w:val="-6"/>
        </w:rPr>
        <w:t xml:space="preserve"> </w:t>
      </w:r>
      <w:r>
        <w:t>каждого навыка</w:t>
      </w:r>
      <w:r>
        <w:rPr>
          <w:spacing w:val="-4"/>
        </w:rPr>
        <w:t xml:space="preserve"> </w:t>
      </w:r>
      <w:r>
        <w:t>заносится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дневник</w:t>
      </w:r>
      <w:r>
        <w:rPr>
          <w:spacing w:val="-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числа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выполнений</w:t>
      </w:r>
    </w:p>
    <w:p w:rsidR="00566CC3" w:rsidRDefault="00566CC3" w:rsidP="00D77840">
      <w:pPr>
        <w:pStyle w:val="a3"/>
        <w:spacing w:line="242" w:lineRule="auto"/>
        <w:ind w:left="709" w:firstLine="709"/>
        <w:sectPr w:rsidR="00566CC3">
          <w:pgSz w:w="11910" w:h="16840"/>
          <w:pgMar w:top="1020" w:right="708" w:bottom="280" w:left="566" w:header="720" w:footer="720" w:gutter="0"/>
          <w:cols w:space="720"/>
        </w:sectPr>
      </w:pPr>
    </w:p>
    <w:p w:rsidR="00566CC3" w:rsidRDefault="00D77840" w:rsidP="00D77840">
      <w:pPr>
        <w:pStyle w:val="a3"/>
        <w:spacing w:before="62"/>
        <w:ind w:left="709" w:right="188" w:firstLine="709"/>
      </w:pPr>
      <w:r>
        <w:lastRenderedPageBreak/>
        <w:t>(повторений). Наилучшим</w:t>
      </w:r>
      <w:r>
        <w:rPr>
          <w:spacing w:val="-1"/>
        </w:rPr>
        <w:t xml:space="preserve"> </w:t>
      </w:r>
      <w:r>
        <w:t>способом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овладения</w:t>
      </w:r>
      <w:r>
        <w:rPr>
          <w:spacing w:val="-7"/>
        </w:rPr>
        <w:t xml:space="preserve"> </w:t>
      </w:r>
      <w:r>
        <w:t>профессиональны</w:t>
      </w:r>
      <w:r>
        <w:t>ми</w:t>
      </w:r>
      <w:r>
        <w:rPr>
          <w:spacing w:val="-6"/>
        </w:rPr>
        <w:t xml:space="preserve"> </w:t>
      </w:r>
      <w:r>
        <w:t>навыками является дебрифинг – подробный разбор сделанного с анализом и коррекцией ошибок (при их наличии). Как и в случае симуляционного курса, оценка по каждому навыку осуществляется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«отработано</w:t>
      </w:r>
      <w:r>
        <w:rPr>
          <w:spacing w:val="-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отработано»,</w:t>
      </w:r>
      <w:r>
        <w:rPr>
          <w:spacing w:val="-1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10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–</w:t>
      </w:r>
    </w:p>
    <w:p w:rsidR="00566CC3" w:rsidRDefault="00D77840" w:rsidP="00D77840">
      <w:pPr>
        <w:pStyle w:val="a3"/>
        <w:spacing w:before="1"/>
        <w:ind w:left="709" w:firstLine="709"/>
      </w:pPr>
      <w:r>
        <w:t>«зачтено</w:t>
      </w:r>
      <w:r>
        <w:rPr>
          <w:spacing w:val="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rPr>
          <w:spacing w:val="-2"/>
        </w:rPr>
        <w:t>зачтено».</w:t>
      </w:r>
    </w:p>
    <w:p w:rsidR="00566CC3" w:rsidRDefault="00D77840" w:rsidP="00D77840">
      <w:pPr>
        <w:pStyle w:val="a3"/>
        <w:spacing w:before="123"/>
        <w:ind w:left="709" w:right="188" w:firstLine="709"/>
      </w:pPr>
      <w:r>
        <w:t>По завершению прохождения практики ординаторы предоставляют по месту прохождения</w:t>
      </w:r>
      <w:r>
        <w:rPr>
          <w:spacing w:val="-15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отчет</w:t>
      </w:r>
      <w:r>
        <w:rPr>
          <w:spacing w:val="-1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прохождении</w:t>
      </w:r>
      <w:r>
        <w:rPr>
          <w:spacing w:val="-11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форме.</w:t>
      </w:r>
      <w:r>
        <w:rPr>
          <w:spacing w:val="-5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условии</w:t>
      </w:r>
      <w:r>
        <w:rPr>
          <w:spacing w:val="-12"/>
        </w:rPr>
        <w:t xml:space="preserve"> </w:t>
      </w:r>
      <w:r>
        <w:t xml:space="preserve">успешного прохождения ординаторами практики высшее учебное заведение проводит их итоговую </w:t>
      </w:r>
      <w:r>
        <w:t>государственную аттестацию, в случае положительного прохождения которой выдается соответствующий документ государственного образца о послевузовском профессиональном образовании.</w:t>
      </w:r>
    </w:p>
    <w:sectPr w:rsidR="00566CC3">
      <w:pgSz w:w="11910" w:h="16840"/>
      <w:pgMar w:top="10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2058F"/>
    <w:multiLevelType w:val="hybridMultilevel"/>
    <w:tmpl w:val="C832C6DA"/>
    <w:lvl w:ilvl="0" w:tplc="43B02F6E">
      <w:numFmt w:val="bullet"/>
      <w:lvlText w:val=""/>
      <w:lvlJc w:val="left"/>
      <w:pPr>
        <w:ind w:left="149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1836D6">
      <w:numFmt w:val="bullet"/>
      <w:lvlText w:val="•"/>
      <w:lvlJc w:val="left"/>
      <w:pPr>
        <w:ind w:left="2413" w:hanging="361"/>
      </w:pPr>
      <w:rPr>
        <w:rFonts w:hint="default"/>
        <w:lang w:val="ru-RU" w:eastAsia="en-US" w:bidi="ar-SA"/>
      </w:rPr>
    </w:lvl>
    <w:lvl w:ilvl="2" w:tplc="0470B65E">
      <w:numFmt w:val="bullet"/>
      <w:lvlText w:val="•"/>
      <w:lvlJc w:val="left"/>
      <w:pPr>
        <w:ind w:left="3326" w:hanging="361"/>
      </w:pPr>
      <w:rPr>
        <w:rFonts w:hint="default"/>
        <w:lang w:val="ru-RU" w:eastAsia="en-US" w:bidi="ar-SA"/>
      </w:rPr>
    </w:lvl>
    <w:lvl w:ilvl="3" w:tplc="D16CB6A2">
      <w:numFmt w:val="bullet"/>
      <w:lvlText w:val="•"/>
      <w:lvlJc w:val="left"/>
      <w:pPr>
        <w:ind w:left="4240" w:hanging="361"/>
      </w:pPr>
      <w:rPr>
        <w:rFonts w:hint="default"/>
        <w:lang w:val="ru-RU" w:eastAsia="en-US" w:bidi="ar-SA"/>
      </w:rPr>
    </w:lvl>
    <w:lvl w:ilvl="4" w:tplc="E4029B38">
      <w:numFmt w:val="bullet"/>
      <w:lvlText w:val="•"/>
      <w:lvlJc w:val="left"/>
      <w:pPr>
        <w:ind w:left="5153" w:hanging="361"/>
      </w:pPr>
      <w:rPr>
        <w:rFonts w:hint="default"/>
        <w:lang w:val="ru-RU" w:eastAsia="en-US" w:bidi="ar-SA"/>
      </w:rPr>
    </w:lvl>
    <w:lvl w:ilvl="5" w:tplc="42FA05C0">
      <w:numFmt w:val="bullet"/>
      <w:lvlText w:val="•"/>
      <w:lvlJc w:val="left"/>
      <w:pPr>
        <w:ind w:left="6067" w:hanging="361"/>
      </w:pPr>
      <w:rPr>
        <w:rFonts w:hint="default"/>
        <w:lang w:val="ru-RU" w:eastAsia="en-US" w:bidi="ar-SA"/>
      </w:rPr>
    </w:lvl>
    <w:lvl w:ilvl="6" w:tplc="D278ED40">
      <w:numFmt w:val="bullet"/>
      <w:lvlText w:val="•"/>
      <w:lvlJc w:val="left"/>
      <w:pPr>
        <w:ind w:left="6980" w:hanging="361"/>
      </w:pPr>
      <w:rPr>
        <w:rFonts w:hint="default"/>
        <w:lang w:val="ru-RU" w:eastAsia="en-US" w:bidi="ar-SA"/>
      </w:rPr>
    </w:lvl>
    <w:lvl w:ilvl="7" w:tplc="4B708792">
      <w:numFmt w:val="bullet"/>
      <w:lvlText w:val="•"/>
      <w:lvlJc w:val="left"/>
      <w:pPr>
        <w:ind w:left="7894" w:hanging="361"/>
      </w:pPr>
      <w:rPr>
        <w:rFonts w:hint="default"/>
        <w:lang w:val="ru-RU" w:eastAsia="en-US" w:bidi="ar-SA"/>
      </w:rPr>
    </w:lvl>
    <w:lvl w:ilvl="8" w:tplc="691E3750">
      <w:numFmt w:val="bullet"/>
      <w:lvlText w:val="•"/>
      <w:lvlJc w:val="left"/>
      <w:pPr>
        <w:ind w:left="8807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6CC3"/>
    <w:rsid w:val="00566CC3"/>
    <w:rsid w:val="00D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9DF0"/>
  <w15:docId w15:val="{ABBA0302-7993-4814-AE9C-5603DA34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3" w:firstLine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0"/>
      <w:ind w:left="1494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999</Words>
  <Characters>5696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PEDIATRIY</dc:creator>
  <cp:lastModifiedBy>*</cp:lastModifiedBy>
  <cp:revision>3</cp:revision>
  <dcterms:created xsi:type="dcterms:W3CDTF">2026-05-18T13:38:00Z</dcterms:created>
  <dcterms:modified xsi:type="dcterms:W3CDTF">2026-05-20T07:01:00Z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