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"ЧЕЧЕНСКИЙ ГОСУДАРСТВЕННЫЙ УНИВЕРСИТЕТ"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______________________________________________________________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ЮРИДИЧЕСКИЙ ФАКУЛЬТЕТ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Кафедра теории и истории государства и права</w:t>
      </w: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РАБОЧАЯ ПРОГРАММА</w:t>
      </w:r>
    </w:p>
    <w:p w:rsidR="00962780" w:rsidRPr="00245A28" w:rsidRDefault="00962780" w:rsidP="00962780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УЧЕБНОЙ ДИСЦИПЛИНЫ</w:t>
      </w:r>
    </w:p>
    <w:p w:rsidR="00962780" w:rsidRPr="00245A28" w:rsidRDefault="00962780" w:rsidP="0096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"Учебная (педагогическая) практика</w:t>
      </w:r>
      <w:r w:rsidRPr="00245A28">
        <w:rPr>
          <w:rFonts w:ascii="Times New Roman" w:hAnsi="Times New Roman" w:cs="Times New Roman"/>
          <w:b/>
          <w:sz w:val="28"/>
          <w:szCs w:val="28"/>
        </w:rPr>
        <w:t>"</w:t>
      </w:r>
    </w:p>
    <w:p w:rsidR="00962780" w:rsidRPr="000919B4" w:rsidRDefault="00962780" w:rsidP="009627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653"/>
      </w:tblGrid>
      <w:tr w:rsidR="00962780" w:rsidRPr="000919B4" w:rsidTr="00676750">
        <w:tc>
          <w:tcPr>
            <w:tcW w:w="4918" w:type="dxa"/>
          </w:tcPr>
          <w:p w:rsidR="00962780" w:rsidRPr="000919B4" w:rsidRDefault="00962780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962780" w:rsidRPr="000919B4" w:rsidRDefault="00962780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962780" w:rsidRPr="000919B4" w:rsidTr="00676750">
        <w:tc>
          <w:tcPr>
            <w:tcW w:w="4918" w:type="dxa"/>
          </w:tcPr>
          <w:p w:rsidR="00962780" w:rsidRPr="000919B4" w:rsidRDefault="00962780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962780" w:rsidRPr="000919B4" w:rsidRDefault="00962780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962780" w:rsidRPr="000919B4" w:rsidTr="00676750">
        <w:tc>
          <w:tcPr>
            <w:tcW w:w="4918" w:type="dxa"/>
          </w:tcPr>
          <w:p w:rsidR="00962780" w:rsidRPr="000919B4" w:rsidRDefault="00962780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962780" w:rsidRPr="000919B4" w:rsidRDefault="00962780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история государства и права; история правовых учений</w:t>
            </w:r>
          </w:p>
        </w:tc>
      </w:tr>
      <w:tr w:rsidR="00962780" w:rsidRPr="000919B4" w:rsidTr="00676750">
        <w:tc>
          <w:tcPr>
            <w:tcW w:w="4918" w:type="dxa"/>
          </w:tcPr>
          <w:p w:rsidR="00962780" w:rsidRPr="000919B4" w:rsidRDefault="00962780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962780" w:rsidRPr="000919B4" w:rsidRDefault="00962780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962780" w:rsidRPr="000919B4" w:rsidTr="00676750">
        <w:tc>
          <w:tcPr>
            <w:tcW w:w="4918" w:type="dxa"/>
          </w:tcPr>
          <w:p w:rsidR="00962780" w:rsidRPr="000919B4" w:rsidRDefault="00962780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962780" w:rsidRPr="000919B4" w:rsidRDefault="00962780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Default="00962780" w:rsidP="00962780">
      <w:pPr>
        <w:pStyle w:val="ae"/>
        <w:jc w:val="center"/>
        <w:rPr>
          <w:sz w:val="28"/>
          <w:szCs w:val="28"/>
        </w:rPr>
      </w:pPr>
    </w:p>
    <w:p w:rsidR="00962780" w:rsidRDefault="00962780" w:rsidP="00962780">
      <w:pPr>
        <w:pStyle w:val="ae"/>
        <w:jc w:val="center"/>
        <w:rPr>
          <w:sz w:val="28"/>
          <w:szCs w:val="28"/>
        </w:rPr>
      </w:pPr>
    </w:p>
    <w:p w:rsidR="00962780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</w:p>
    <w:p w:rsidR="00962780" w:rsidRPr="000919B4" w:rsidRDefault="00962780" w:rsidP="00962780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>
        <w:rPr>
          <w:sz w:val="28"/>
          <w:szCs w:val="28"/>
        </w:rPr>
        <w:t>2020</w:t>
      </w:r>
    </w:p>
    <w:p w:rsidR="00962780" w:rsidRDefault="00962780" w:rsidP="0096278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62780" w:rsidRDefault="00962780" w:rsidP="0096278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62780" w:rsidRDefault="00962780" w:rsidP="003C03A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3A83" w:rsidRPr="000919B4" w:rsidRDefault="00962780" w:rsidP="003C0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lastRenderedPageBreak/>
        <w:t>Кагерманов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А-С.С.</w:t>
      </w:r>
      <w:r w:rsidR="00C43A83" w:rsidRPr="000919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«</w:t>
      </w:r>
      <w:r w:rsidR="00F95837">
        <w:rPr>
          <w:rFonts w:ascii="Times New Roman" w:hAnsi="Times New Roman" w:cs="Times New Roman"/>
          <w:sz w:val="28"/>
          <w:szCs w:val="28"/>
        </w:rPr>
        <w:t>Учебная (педагогическая) практика</w:t>
      </w:r>
      <w:r>
        <w:rPr>
          <w:rFonts w:ascii="Times New Roman" w:hAnsi="Times New Roman" w:cs="Times New Roman"/>
          <w:sz w:val="28"/>
          <w:szCs w:val="28"/>
        </w:rPr>
        <w:t xml:space="preserve">» [Текст] / Сост.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.С.Кагерманов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 – Грозный: ФГБОУ ВО «Чеченский государственный университет», </w:t>
      </w:r>
      <w:r w:rsidR="00252DAE">
        <w:rPr>
          <w:rFonts w:ascii="Times New Roman" w:hAnsi="Times New Roman" w:cs="Times New Roman"/>
          <w:sz w:val="28"/>
          <w:szCs w:val="28"/>
        </w:rPr>
        <w:t>2020</w:t>
      </w:r>
      <w:r w:rsidR="00C43A83"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3C03A3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780" w:rsidRPr="00245A28" w:rsidRDefault="00962780" w:rsidP="00962780">
      <w:pPr>
        <w:ind w:firstLine="426"/>
        <w:jc w:val="both"/>
        <w:textAlignment w:val="baseline"/>
        <w:rPr>
          <w:sz w:val="28"/>
          <w:szCs w:val="28"/>
        </w:rPr>
      </w:pPr>
      <w:r w:rsidRPr="008E170E">
        <w:rPr>
          <w:rFonts w:ascii="Times New Roman" w:hAnsi="Times New Roman"/>
          <w:sz w:val="28"/>
          <w:szCs w:val="28"/>
        </w:rPr>
        <w:t>Рабочая программа рассмотрена на заседании кафедры теории и истории государства и права, рекомендована к использованию в</w:t>
      </w:r>
      <w:r>
        <w:rPr>
          <w:rFonts w:ascii="Times New Roman" w:hAnsi="Times New Roman"/>
          <w:sz w:val="28"/>
          <w:szCs w:val="28"/>
        </w:rPr>
        <w:t xml:space="preserve"> учебном процессе (протокол № 01 от 03.09.2020</w:t>
      </w:r>
      <w:r w:rsidRPr="008E170E">
        <w:rPr>
          <w:rFonts w:ascii="Times New Roman" w:hAnsi="Times New Roman"/>
          <w:sz w:val="28"/>
          <w:szCs w:val="28"/>
        </w:rPr>
        <w:t xml:space="preserve"> г.), с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оставлена в соответствии с требованиями ФГОС ВО по направлению подготовки 40.04.01 «юриспруденция», квалификации (степень) – магистр, утвержденного приказом Министерства образования и науки Российской Федерации от 08.04.2015 г. № 369, </w:t>
      </w:r>
      <w:r>
        <w:rPr>
          <w:rFonts w:ascii="Times New Roman" w:eastAsia="MS Mincho" w:hAnsi="Times New Roman"/>
          <w:sz w:val="28"/>
          <w:szCs w:val="28"/>
          <w:lang w:eastAsia="ja-JP"/>
        </w:rPr>
        <w:t>с учетом профиля магистерской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 программ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ы </w:t>
      </w:r>
      <w:hyperlink r:id="rId8" w:history="1">
        <w:r w:rsidRPr="00245A28">
          <w:rPr>
            <w:rStyle w:val="a3"/>
            <w:rFonts w:ascii="Times New Roman" w:hAnsi="Times New Roman"/>
            <w:color w:val="000000" w:themeColor="text1"/>
            <w:sz w:val="28"/>
            <w:u w:val="none"/>
            <w:bdr w:val="none" w:sz="0" w:space="0" w:color="auto" w:frame="1"/>
          </w:rPr>
          <w:t>Теория и история права и государства; история правовых</w:t>
        </w:r>
      </w:hyperlink>
      <w:r w:rsidRPr="00245A28">
        <w:rPr>
          <w:rStyle w:val="a3"/>
          <w:rFonts w:ascii="Times New Roman" w:hAnsi="Times New Roman"/>
          <w:color w:val="000000" w:themeColor="text1"/>
          <w:sz w:val="28"/>
          <w:u w:val="none"/>
          <w:bdr w:val="none" w:sz="0" w:space="0" w:color="auto" w:frame="1"/>
        </w:rPr>
        <w:t xml:space="preserve"> учений</w:t>
      </w:r>
      <w:r w:rsidRPr="00245A28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Pr="000919B4" w:rsidRDefault="00962780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962780" w:rsidRPr="000919B4" w:rsidRDefault="00962780" w:rsidP="00962780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.С.Кагерманов</w:t>
      </w:r>
      <w:proofErr w:type="spellEnd"/>
      <w:r w:rsidRPr="000919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962780" w:rsidRPr="000919B4" w:rsidRDefault="00962780" w:rsidP="00962780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962780" w:rsidRPr="000919B4" w:rsidRDefault="00962780" w:rsidP="00962780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3F2FDE" w:rsidP="003C03A3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8028F6" w:rsidRPr="008028F6" w:rsidRDefault="009C1926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8028F6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8028F6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8028F6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16897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_Toc505716897 \h </w:instrText>
        </w:r>
        <w:r w:rsidRPr="008028F6">
          <w:rPr>
            <w:rFonts w:ascii="Times New Roman" w:hAnsi="Times New Roman" w:cs="Times New Roman"/>
            <w:i w:val="0"/>
            <w:noProof/>
            <w:webHidden/>
          </w:rPr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_Toc505716898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899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_Toc505716899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6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0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_Toc505716900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6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2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_Toc505716902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3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_Toc505716903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4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_Toc505716904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5" w:history="1"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 и формы проведения практики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_Toc505716905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08" w:history="1"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_Toc505716908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8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4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_Toc505716914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10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5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.1. Основная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_Toc505716915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6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.2. Дополнительная литература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_Toc505716916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7" w:history="1">
        <w:r w:rsidR="002E7541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8028F6" w:rsidRPr="008028F6">
          <w:rPr>
            <w:rStyle w:val="a3"/>
            <w:rFonts w:ascii="Times New Roman" w:hAnsi="Times New Roman" w:cs="Times New Roman"/>
            <w:b w:val="0"/>
            <w:i w:val="0"/>
            <w:noProof/>
          </w:rPr>
          <w:t>.3. Периодические издания</w:t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_Toc505716917 \h </w:instrTex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="009C1926" w:rsidRPr="008028F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8" w:history="1">
        <w:r w:rsidR="002E7541">
          <w:rPr>
            <w:rStyle w:val="a3"/>
            <w:rFonts w:ascii="Times New Roman" w:eastAsia="Arial" w:hAnsi="Times New Roman" w:cs="Times New Roman"/>
            <w:i w:val="0"/>
            <w:noProof/>
          </w:rPr>
          <w:t>7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_Toc505716918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12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19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8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>. Методические указания для обучающихся по освоению дисциплины (модуля)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_Toc505716919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12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0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9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_Toc505716920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15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8028F6" w:rsidRPr="008028F6" w:rsidRDefault="00F30129" w:rsidP="008028F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16921" w:history="1">
        <w:r w:rsidR="002E7541">
          <w:rPr>
            <w:rStyle w:val="a3"/>
            <w:rFonts w:ascii="Times New Roman" w:hAnsi="Times New Roman" w:cs="Times New Roman"/>
            <w:i w:val="0"/>
            <w:noProof/>
          </w:rPr>
          <w:t>10</w:t>
        </w:r>
        <w:r w:rsidR="008028F6" w:rsidRPr="008028F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8028F6" w:rsidRPr="008028F6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tab/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8028F6" w:rsidRPr="008028F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_Toc505716921 \h </w:instrTex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DC7705">
          <w:rPr>
            <w:rFonts w:ascii="Times New Roman" w:hAnsi="Times New Roman" w:cs="Times New Roman"/>
            <w:i w:val="0"/>
            <w:noProof/>
            <w:webHidden/>
          </w:rPr>
          <w:t>15</w:t>
        </w:r>
        <w:r w:rsidR="009C1926" w:rsidRPr="008028F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9C1926" w:rsidP="008028F6">
      <w:pPr>
        <w:pStyle w:val="ae"/>
        <w:rPr>
          <w:b/>
        </w:rPr>
      </w:pPr>
      <w:r w:rsidRPr="008028F6">
        <w:rPr>
          <w:b/>
          <w:bCs/>
          <w:iCs/>
        </w:rPr>
        <w:fldChar w:fldCharType="end"/>
      </w:r>
    </w:p>
    <w:p w:rsidR="00FF317E" w:rsidRPr="00006B1D" w:rsidRDefault="00FF317E" w:rsidP="00006B1D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961B95">
      <w:pPr>
        <w:pStyle w:val="1"/>
        <w:tabs>
          <w:tab w:val="left" w:pos="284"/>
        </w:tabs>
      </w:pPr>
      <w:bookmarkStart w:id="0" w:name="_Toc505716897"/>
      <w:r w:rsidRPr="00961B95">
        <w:lastRenderedPageBreak/>
        <w:t>1. Цели и задачи освоения дисциплины</w:t>
      </w:r>
      <w:bookmarkEnd w:id="0"/>
    </w:p>
    <w:p w:rsidR="00F95837" w:rsidRPr="00961B95" w:rsidRDefault="00756F9C" w:rsidP="00961B95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bookmarkStart w:id="1" w:name="bookmark1"/>
      <w:r w:rsidRPr="00961B95">
        <w:rPr>
          <w:rFonts w:ascii="Times New Roman" w:hAnsi="Times New Roman" w:cs="Times New Roman"/>
          <w:b/>
          <w:color w:val="auto"/>
        </w:rPr>
        <w:t>Целями</w:t>
      </w:r>
      <w:r w:rsidRPr="00961B95">
        <w:rPr>
          <w:rFonts w:ascii="Times New Roman" w:hAnsi="Times New Roman" w:cs="Times New Roman"/>
          <w:color w:val="auto"/>
        </w:rPr>
        <w:t xml:space="preserve"> освоения дисциплины «</w:t>
      </w:r>
      <w:r w:rsidR="00F95837" w:rsidRPr="00961B95">
        <w:rPr>
          <w:rFonts w:ascii="Times New Roman" w:eastAsia="Times New Roman" w:hAnsi="Times New Roman" w:cs="Times New Roman"/>
        </w:rPr>
        <w:t>Учебная (педагогическая) практика</w:t>
      </w:r>
      <w:r w:rsidRPr="00961B95">
        <w:rPr>
          <w:rFonts w:ascii="Times New Roman" w:hAnsi="Times New Roman" w:cs="Times New Roman"/>
          <w:color w:val="auto"/>
        </w:rPr>
        <w:t>» являются:</w:t>
      </w:r>
      <w:r w:rsidR="00962780">
        <w:rPr>
          <w:rFonts w:ascii="Times New Roman" w:hAnsi="Times New Roman" w:cs="Times New Roman"/>
          <w:color w:val="auto"/>
        </w:rPr>
        <w:t xml:space="preserve"> </w:t>
      </w:r>
      <w:r w:rsidR="00F95837" w:rsidRPr="00961B95">
        <w:rPr>
          <w:rFonts w:ascii="Times New Roman" w:hAnsi="Times New Roman" w:cs="Times New Roman"/>
        </w:rPr>
        <w:t>формирование и развитие практических навыков и компетенций магистра,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овладение необходимыми методами обучения и воспитания в образовательной области; подготовка необходимых материалов для написания выпускной квалификационной работы; приобщение студента к социальной среде образовательного учреждения с целью приобретения социально-личностных компетенций, необходимых для работы в сфере образования; формирование у магистрантов навыков педагогической деятельности, применения полученных при обучении знаний и навыков в самостоятельной профессиональной деятельности, контролируемой куратором практики.</w:t>
      </w:r>
    </w:p>
    <w:p w:rsidR="0078441D" w:rsidRPr="00961B95" w:rsidRDefault="00756F9C" w:rsidP="00961B95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B339B0">
        <w:rPr>
          <w:rFonts w:ascii="Times New Roman" w:hAnsi="Times New Roman" w:cs="Times New Roman"/>
          <w:b/>
        </w:rPr>
        <w:t xml:space="preserve"> </w:t>
      </w:r>
      <w:r w:rsidR="00F95837" w:rsidRPr="00961B95">
        <w:rPr>
          <w:rFonts w:ascii="Times New Roman" w:hAnsi="Times New Roman" w:cs="Times New Roman"/>
        </w:rPr>
        <w:t xml:space="preserve">углубление и закрепление теоретических знаний, полученных при обучении по программам </w:t>
      </w:r>
      <w:proofErr w:type="spellStart"/>
      <w:r w:rsidR="00F95837" w:rsidRPr="00961B95">
        <w:rPr>
          <w:rFonts w:ascii="Times New Roman" w:hAnsi="Times New Roman" w:cs="Times New Roman"/>
        </w:rPr>
        <w:t>бакалавриата</w:t>
      </w:r>
      <w:proofErr w:type="spellEnd"/>
      <w:r w:rsidR="00F95837" w:rsidRPr="00961B95">
        <w:rPr>
          <w:rFonts w:ascii="Times New Roman" w:hAnsi="Times New Roman" w:cs="Times New Roman"/>
        </w:rPr>
        <w:t xml:space="preserve">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496451" w:rsidP="00961B95">
      <w:pPr>
        <w:pStyle w:val="1"/>
        <w:tabs>
          <w:tab w:val="left" w:pos="142"/>
          <w:tab w:val="left" w:pos="284"/>
        </w:tabs>
      </w:pPr>
      <w:bookmarkStart w:id="2" w:name="_Toc505716898"/>
      <w:r w:rsidRPr="00961B95">
        <w:t>2. Перечень</w:t>
      </w:r>
      <w:r w:rsidR="00B339B0">
        <w:t xml:space="preserve"> </w:t>
      </w:r>
      <w:r w:rsidRPr="00961B95">
        <w:t>планируемых</w:t>
      </w:r>
      <w:r w:rsidR="00B339B0">
        <w:t xml:space="preserve"> </w:t>
      </w:r>
      <w:r w:rsidRPr="00961B95">
        <w:t>результатов</w:t>
      </w:r>
      <w:r w:rsidR="00B339B0">
        <w:t xml:space="preserve"> </w:t>
      </w:r>
      <w:r w:rsidRPr="00961B95">
        <w:t>обучения</w:t>
      </w:r>
      <w:r w:rsidR="00B339B0">
        <w:t xml:space="preserve"> </w:t>
      </w:r>
      <w:r w:rsidRPr="00961B95">
        <w:t>по дисциплине(модулю),</w:t>
      </w:r>
      <w:r w:rsidR="00B339B0">
        <w:t xml:space="preserve"> </w:t>
      </w:r>
      <w:r w:rsidRPr="00961B95">
        <w:t>соотнесенных</w:t>
      </w:r>
      <w:r w:rsidR="00B339B0">
        <w:t xml:space="preserve"> </w:t>
      </w:r>
      <w:r w:rsidRPr="00961B95">
        <w:t>с</w:t>
      </w:r>
      <w:r w:rsidR="00B339B0">
        <w:t xml:space="preserve"> </w:t>
      </w:r>
      <w:r w:rsidRPr="00961B95">
        <w:t>планируемыми</w:t>
      </w:r>
      <w:r w:rsidR="00B339B0">
        <w:t xml:space="preserve"> </w:t>
      </w:r>
      <w:r w:rsidRPr="00961B95">
        <w:t>результатами освоения образовательной программы</w:t>
      </w:r>
      <w:bookmarkEnd w:id="2"/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6A081B" w:rsidRPr="00372B47" w:rsidRDefault="006A081B" w:rsidP="006A081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6A081B" w:rsidRPr="00372B47" w:rsidRDefault="006A081B" w:rsidP="006A081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6A081B" w:rsidRPr="00372B47" w:rsidRDefault="006A081B" w:rsidP="006A081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6A081B" w:rsidRPr="00372B47" w:rsidRDefault="006A081B" w:rsidP="006A081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6A081B" w:rsidRPr="00372B47" w:rsidRDefault="006A081B" w:rsidP="006A081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6A081B" w:rsidRPr="007A38C9" w:rsidRDefault="006A081B" w:rsidP="006A081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6A081B" w:rsidRPr="00372B47" w:rsidRDefault="006A081B" w:rsidP="006A081B">
      <w:pPr>
        <w:pStyle w:val="ae"/>
      </w:pPr>
      <w:r w:rsidRPr="00372B47">
        <w:t>способностью разрабатывать нормативные правовые акты (ПК-1);</w:t>
      </w:r>
    </w:p>
    <w:p w:rsidR="006A081B" w:rsidRPr="00372B47" w:rsidRDefault="006A081B" w:rsidP="006A081B">
      <w:pPr>
        <w:pStyle w:val="ae"/>
      </w:pPr>
      <w:r w:rsidRPr="00372B47">
        <w:t>в правоприменительной деятельности: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6A081B" w:rsidRPr="00372B47" w:rsidRDefault="006A081B" w:rsidP="006A081B">
      <w:pPr>
        <w:pStyle w:val="ae"/>
      </w:pPr>
      <w:r w:rsidRPr="00372B47">
        <w:t>в правоохранительной деятельности:</w:t>
      </w:r>
    </w:p>
    <w:p w:rsidR="006A081B" w:rsidRPr="00372B47" w:rsidRDefault="006A081B" w:rsidP="006A081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6A081B" w:rsidRPr="00372B47" w:rsidRDefault="006A081B" w:rsidP="006A081B">
      <w:pPr>
        <w:pStyle w:val="ae"/>
      </w:pPr>
      <w:r w:rsidRPr="00372B47">
        <w:t>способностью выявлять, пресекать, раскрывать и расследовать правонарушения и преступления (ПК-4);</w:t>
      </w:r>
    </w:p>
    <w:p w:rsidR="006A081B" w:rsidRPr="00372B47" w:rsidRDefault="006A081B" w:rsidP="006A081B">
      <w:pPr>
        <w:pStyle w:val="ae"/>
      </w:pPr>
      <w:r w:rsidRPr="00372B47">
        <w:lastRenderedPageBreak/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6A081B" w:rsidRPr="00372B47" w:rsidRDefault="006A081B" w:rsidP="006A081B">
      <w:pPr>
        <w:pStyle w:val="ae"/>
      </w:pPr>
      <w:r w:rsidRPr="00372B47">
        <w:t>способностью выявлять, давать оценку и содействовать пресечению коррупционного поведения (ПК-6);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толковать нормативные правовые акты (ПК-7);</w:t>
      </w:r>
    </w:p>
    <w:p w:rsidR="006A081B" w:rsidRPr="00372B47" w:rsidRDefault="006A081B" w:rsidP="006A081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6A081B" w:rsidRPr="00372B47" w:rsidRDefault="006A081B" w:rsidP="006A081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6A081B" w:rsidRPr="00372B47" w:rsidRDefault="006A081B" w:rsidP="006A081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6A081B" w:rsidRPr="00372B47" w:rsidRDefault="006A081B" w:rsidP="006A081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6A081B" w:rsidRPr="00372B47" w:rsidRDefault="006A081B" w:rsidP="006A081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6A081B" w:rsidRPr="00372B47" w:rsidRDefault="006A081B" w:rsidP="006A081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6A081B" w:rsidRPr="00372B47" w:rsidRDefault="006A081B" w:rsidP="006A081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6A081B" w:rsidRPr="00372B47" w:rsidRDefault="006A081B" w:rsidP="006A081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961B95" w:rsidRDefault="003868C0" w:rsidP="00961B95">
      <w:pPr>
        <w:pStyle w:val="ae"/>
        <w:tabs>
          <w:tab w:val="left" w:pos="142"/>
          <w:tab w:val="left" w:pos="284"/>
        </w:tabs>
        <w:rPr>
          <w:color w:val="auto"/>
        </w:rPr>
      </w:pPr>
      <w:r w:rsidRPr="00961B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F95837" w:rsidRPr="00961B95">
        <w:rPr>
          <w:color w:val="auto"/>
        </w:rPr>
        <w:t>Учебная (педагогическая) практика</w:t>
      </w:r>
      <w:r w:rsidRPr="00961B95">
        <w:rPr>
          <w:color w:val="auto"/>
        </w:rPr>
        <w:t>» должен</w:t>
      </w:r>
      <w:r w:rsidR="00AD7C34" w:rsidRPr="00961B95">
        <w:rPr>
          <w:color w:val="auto"/>
        </w:rPr>
        <w:t>: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  <w:b/>
        </w:rPr>
        <w:t>знать</w:t>
      </w:r>
      <w:r w:rsidRPr="00961B95">
        <w:rPr>
          <w:rFonts w:ascii="Times New Roman" w:hAnsi="Times New Roman" w:cs="Times New Roman"/>
        </w:rPr>
        <w:t xml:space="preserve">: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научные основы курсов уголовного права в образовательных учреждениях;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– сущность и структуру образовательных процессов;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методологию педагогических исследований проблем образования;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теории и технологии обучения и воспитания студента;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содержание преподаваемого предмета;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- способы взаимодействия педагога с различными субъектами педагогического процесса;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уметь: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системно анализировать и выбирать образовательные компетенции;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диагностические методы для решения различных профессиональных задач;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учитывать в педагогическом взаимодействии различные особенности студентов;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проектировать элективные курсы с использованием последних достижений наук;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использовать в образовательном процессе разнообразные ресурсы, в том числе потенциал других учебных предметов;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организовывать вне</w:t>
      </w:r>
      <w:r w:rsidR="00B339B0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961B95">
        <w:rPr>
          <w:rFonts w:ascii="Times New Roman" w:hAnsi="Times New Roman" w:cs="Times New Roman"/>
        </w:rPr>
        <w:t>учебную деятельность обучающихся;</w:t>
      </w:r>
    </w:p>
    <w:p w:rsidR="00F95837" w:rsidRPr="00961B95" w:rsidRDefault="00F95837" w:rsidP="006529C5">
      <w:pPr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использовать теоретические знания для генерации новых идей в области образования; </w:t>
      </w:r>
    </w:p>
    <w:p w:rsidR="00F95837" w:rsidRPr="00961B95" w:rsidRDefault="00F95837" w:rsidP="00961B95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 w:rsidRPr="00961B95">
        <w:rPr>
          <w:rFonts w:ascii="Times New Roman" w:hAnsi="Times New Roman" w:cs="Times New Roman"/>
          <w:b/>
        </w:rPr>
        <w:t>владеть: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средствами коммуникации в профессиональной педагогической деятельности;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способами проектной и инновационной деятельности в образовании;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lastRenderedPageBreak/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основными методами обработки информации;</w:t>
      </w:r>
    </w:p>
    <w:p w:rsidR="00F95837" w:rsidRPr="00961B95" w:rsidRDefault="00F95837" w:rsidP="006529C5">
      <w:pPr>
        <w:widowControl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0919B4" w:rsidRDefault="00496451" w:rsidP="003C03A3">
      <w:pPr>
        <w:pStyle w:val="1"/>
      </w:pPr>
      <w:bookmarkStart w:id="4" w:name="_Toc505716899"/>
      <w:r w:rsidRPr="000919B4">
        <w:t>3. Место дисциплины в структуре ОПОП</w:t>
      </w:r>
      <w:bookmarkEnd w:id="4"/>
    </w:p>
    <w:p w:rsidR="003868C0" w:rsidRPr="000919B4" w:rsidRDefault="003868C0" w:rsidP="003C03A3">
      <w:pPr>
        <w:pStyle w:val="ae"/>
      </w:pPr>
      <w:bookmarkStart w:id="5" w:name="bookmark2"/>
      <w:bookmarkEnd w:id="1"/>
      <w:r w:rsidRPr="000919B4">
        <w:t>Учебная дисциплина «</w:t>
      </w:r>
      <w:r w:rsidR="00F95837">
        <w:t>Учебная (педагогическая) практика</w:t>
      </w:r>
      <w:r w:rsidRPr="000919B4">
        <w:t>» относится к</w:t>
      </w:r>
      <w:r w:rsidR="00B339B0">
        <w:t xml:space="preserve"> </w:t>
      </w:r>
      <w:r w:rsidR="00F95837">
        <w:t>блоку практики, НИР</w:t>
      </w:r>
      <w:r w:rsidR="00180169">
        <w:t>.</w:t>
      </w:r>
    </w:p>
    <w:p w:rsidR="00496451" w:rsidRPr="000919B4" w:rsidRDefault="00496451" w:rsidP="003C03A3">
      <w:pPr>
        <w:pStyle w:val="ae"/>
      </w:pPr>
      <w:r w:rsidRPr="000919B4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3C03A3">
      <w:pPr>
        <w:pStyle w:val="1"/>
      </w:pPr>
      <w:bookmarkStart w:id="6" w:name="_Toc505716900"/>
      <w:bookmarkEnd w:id="5"/>
      <w:r w:rsidRPr="000919B4">
        <w:t>4. Содержание дисциплины (модуля)</w:t>
      </w:r>
      <w:bookmarkEnd w:id="6"/>
    </w:p>
    <w:p w:rsidR="00F95837" w:rsidRPr="002F7C1A" w:rsidRDefault="00F95837" w:rsidP="00F95837">
      <w:pPr>
        <w:pStyle w:val="1"/>
      </w:pPr>
      <w:bookmarkStart w:id="7" w:name="_Toc376378340"/>
      <w:bookmarkStart w:id="8" w:name="_Toc411945268"/>
      <w:bookmarkStart w:id="9" w:name="_Toc505716902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F95837">
      <w:pPr>
        <w:pStyle w:val="ae"/>
      </w:pPr>
      <w:r w:rsidRPr="002F7C1A">
        <w:t xml:space="preserve">Общая трудоемкость дисциплины составляет 6 зачетных единиц (216часов)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216</w:t>
            </w:r>
          </w:p>
        </w:tc>
      </w:tr>
    </w:tbl>
    <w:p w:rsidR="00F95837" w:rsidRPr="002F7C1A" w:rsidRDefault="00F95837" w:rsidP="00F95837">
      <w:pPr>
        <w:pStyle w:val="1"/>
      </w:pPr>
      <w:bookmarkStart w:id="10" w:name="_Toc376378339"/>
      <w:bookmarkStart w:id="11" w:name="_Toc411945267"/>
      <w:bookmarkStart w:id="12" w:name="_Toc505716903"/>
      <w:r w:rsidRPr="002F7C1A">
        <w:t>4.2. Содержание разделов дисциплины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4"/>
        <w:gridCol w:w="5649"/>
        <w:gridCol w:w="1614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F95837">
            <w:pPr>
              <w:pStyle w:val="ae"/>
            </w:pPr>
            <w:proofErr w:type="spellStart"/>
            <w:r w:rsidRPr="002F7C1A">
              <w:t>Наимено-вание</w:t>
            </w:r>
            <w:proofErr w:type="spellEnd"/>
            <w:r w:rsidRPr="002F7C1A">
              <w:t xml:space="preserve"> раздела</w:t>
            </w:r>
          </w:p>
        </w:tc>
        <w:tc>
          <w:tcPr>
            <w:tcW w:w="2951" w:type="pct"/>
          </w:tcPr>
          <w:p w:rsidR="00F95837" w:rsidRPr="002F7C1A" w:rsidRDefault="00F95837" w:rsidP="00F95837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F95837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F95837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6529C5">
            <w:pPr>
              <w:pStyle w:val="ae"/>
              <w:widowControl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762E87" w:rsidP="00762E87">
      <w:pPr>
        <w:pStyle w:val="1"/>
      </w:pPr>
      <w:bookmarkStart w:id="13" w:name="_Toc505716904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5"/>
        <w:gridCol w:w="7356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F95837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F95837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F95837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 xml:space="preserve">В образовательном учреждении студенты знакомятся с задачами учебно-воспитательной и </w:t>
      </w:r>
      <w:r w:rsidRPr="002F7C1A">
        <w:rPr>
          <w:rFonts w:ascii="Times New Roman" w:eastAsia="Calibri" w:hAnsi="Times New Roman" w:cs="Times New Roman"/>
          <w:lang w:eastAsia="en-US"/>
        </w:rPr>
        <w:lastRenderedPageBreak/>
        <w:t>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</w:t>
      </w:r>
      <w:r w:rsidR="00B339B0">
        <w:rPr>
          <w:rFonts w:ascii="Times New Roman" w:eastAsia="Calibri" w:hAnsi="Times New Roman" w:cs="Times New Roman"/>
          <w:lang w:eastAsia="en-US"/>
        </w:rPr>
        <w:t xml:space="preserve"> </w:t>
      </w:r>
      <w:r w:rsidRPr="002F7C1A">
        <w:rPr>
          <w:rFonts w:ascii="Times New Roman" w:eastAsia="Calibri" w:hAnsi="Times New Roman" w:cs="Times New Roman"/>
          <w:lang w:eastAsia="en-US"/>
        </w:rPr>
        <w:t>зачтено».</w:t>
      </w:r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6529C5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762E87" w:rsidRPr="00AC6D7A" w:rsidRDefault="00762E87" w:rsidP="00762E87">
      <w:pPr>
        <w:pStyle w:val="1"/>
      </w:pPr>
      <w:bookmarkStart w:id="14" w:name="_Toc505686604"/>
      <w:bookmarkStart w:id="15" w:name="_Toc505703109"/>
      <w:bookmarkStart w:id="16" w:name="_Toc505716905"/>
      <w:bookmarkStart w:id="17" w:name="_Toc468542235"/>
      <w:r w:rsidRPr="00AC6D7A">
        <w:t>4.4. Место, время, способы и формы проведения практики</w:t>
      </w:r>
      <w:bookmarkEnd w:id="14"/>
      <w:bookmarkEnd w:id="15"/>
      <w:bookmarkEnd w:id="16"/>
    </w:p>
    <w:p w:rsidR="00762E87" w:rsidRPr="00AC6D7A" w:rsidRDefault="00762E87" w:rsidP="00762E87">
      <w:pPr>
        <w:pStyle w:val="ae"/>
      </w:pPr>
      <w:bookmarkStart w:id="18" w:name="_Toc505349578"/>
      <w:r>
        <w:t xml:space="preserve">Учебная (педагогическая) </w:t>
      </w:r>
      <w:r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bookmarkStart w:id="19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9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762E87" w:rsidRPr="00AC6D7A" w:rsidRDefault="00762E87" w:rsidP="00762E87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Учебная (педагогическая) </w:t>
      </w:r>
      <w:r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762E87" w:rsidRPr="00AC6D7A" w:rsidRDefault="00762E87" w:rsidP="00762E87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762E87" w:rsidRPr="00AC6D7A" w:rsidRDefault="00762E87" w:rsidP="00762E87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762E87" w:rsidRPr="00AC6D7A" w:rsidRDefault="00762E87" w:rsidP="00762E87">
      <w:pPr>
        <w:pStyle w:val="1"/>
        <w:rPr>
          <w:b w:val="0"/>
        </w:rPr>
      </w:pPr>
      <w:bookmarkStart w:id="20" w:name="_Toc505686605"/>
      <w:bookmarkStart w:id="21" w:name="_Toc505703110"/>
      <w:bookmarkStart w:id="22" w:name="_Toc505716058"/>
      <w:bookmarkStart w:id="23" w:name="_Toc505716906"/>
      <w:r w:rsidRPr="00AC6D7A">
        <w:rPr>
          <w:b w:val="0"/>
        </w:rPr>
        <w:t>Способ проведения практики:</w:t>
      </w:r>
      <w:bookmarkEnd w:id="18"/>
      <w:bookmarkEnd w:id="20"/>
      <w:bookmarkEnd w:id="21"/>
      <w:bookmarkEnd w:id="22"/>
      <w:bookmarkEnd w:id="23"/>
    </w:p>
    <w:p w:rsidR="00762E87" w:rsidRPr="00AC6D7A" w:rsidRDefault="00762E87" w:rsidP="00762E87">
      <w:pPr>
        <w:pStyle w:val="1"/>
        <w:rPr>
          <w:b w:val="0"/>
        </w:rPr>
      </w:pPr>
      <w:bookmarkStart w:id="24" w:name="_Toc505349579"/>
      <w:bookmarkStart w:id="25" w:name="_Toc505686606"/>
      <w:bookmarkStart w:id="26" w:name="_Toc505703111"/>
      <w:bookmarkStart w:id="27" w:name="_Toc505716059"/>
      <w:bookmarkStart w:id="28" w:name="_Toc505716907"/>
      <w:r w:rsidRPr="00AC6D7A">
        <w:rPr>
          <w:b w:val="0"/>
        </w:rPr>
        <w:t>- стационарная;</w:t>
      </w:r>
      <w:bookmarkEnd w:id="24"/>
      <w:bookmarkEnd w:id="25"/>
      <w:bookmarkEnd w:id="26"/>
      <w:bookmarkEnd w:id="27"/>
      <w:bookmarkEnd w:id="28"/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762E87" w:rsidRPr="00AC6D7A" w:rsidRDefault="00762E87" w:rsidP="00762E87">
      <w:pPr>
        <w:pStyle w:val="ae"/>
        <w:rPr>
          <w:rFonts w:eastAsia="Arial"/>
        </w:rPr>
      </w:pPr>
      <w:r w:rsidRPr="00AC6D7A">
        <w:rPr>
          <w:rFonts w:eastAsia="Arial"/>
        </w:rPr>
        <w:t xml:space="preserve"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</w:t>
      </w:r>
      <w:r w:rsidRPr="00AC6D7A">
        <w:rPr>
          <w:rFonts w:eastAsia="Arial"/>
        </w:rPr>
        <w:lastRenderedPageBreak/>
        <w:t>исследования в праве и пр.).</w:t>
      </w:r>
    </w:p>
    <w:p w:rsidR="00762E87" w:rsidRPr="00AC6D7A" w:rsidRDefault="00762E87" w:rsidP="00762E87">
      <w:pPr>
        <w:pStyle w:val="1"/>
      </w:pPr>
      <w:bookmarkStart w:id="29" w:name="_Toc505686607"/>
      <w:bookmarkStart w:id="30" w:name="_Toc505703112"/>
      <w:bookmarkStart w:id="31" w:name="_Toc505716908"/>
      <w:r w:rsidRPr="00AC6D7A">
        <w:t>5. Перечень учебно-методического обеспечения для самостоятельной работы обучающихся по дисциплине (модулю)</w:t>
      </w:r>
      <w:bookmarkEnd w:id="29"/>
      <w:bookmarkEnd w:id="30"/>
      <w:bookmarkEnd w:id="31"/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:rsidR="00762E87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762E87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762E87" w:rsidRPr="00AC6D7A" w:rsidRDefault="00762E87" w:rsidP="00762E87">
      <w:pPr>
        <w:pStyle w:val="ae"/>
      </w:pPr>
      <w:r w:rsidRPr="00AC6D7A">
        <w:t>-Совместно</w:t>
      </w:r>
      <w:r w:rsidR="00B339B0">
        <w:t xml:space="preserve"> с руководителем практики от </w:t>
      </w:r>
      <w:proofErr w:type="gramStart"/>
      <w:r w:rsidR="00B339B0">
        <w:t xml:space="preserve">факультета </w:t>
      </w:r>
      <w:r w:rsidRPr="00AC6D7A">
        <w:t xml:space="preserve"> организовать</w:t>
      </w:r>
      <w:proofErr w:type="gramEnd"/>
      <w:r w:rsidRPr="00AC6D7A">
        <w:t xml:space="preserve"> и контролировать ход практики студентов в соответствии с программой практики и индивидуальными заданиями студентов;</w:t>
      </w:r>
    </w:p>
    <w:p w:rsidR="00762E87" w:rsidRPr="00AC6D7A" w:rsidRDefault="00762E87" w:rsidP="00762E87">
      <w:pPr>
        <w:pStyle w:val="ae"/>
      </w:pPr>
      <w:r w:rsidRPr="00AC6D7A">
        <w:t>-Обеспечить проведение инструктажа по охране труда и технике безопасности;</w:t>
      </w:r>
    </w:p>
    <w:p w:rsidR="00762E87" w:rsidRPr="00AC6D7A" w:rsidRDefault="00762E87" w:rsidP="00762E87">
      <w:pPr>
        <w:pStyle w:val="ae"/>
      </w:pPr>
      <w:r w:rsidRPr="00AC6D7A">
        <w:lastRenderedPageBreak/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762E87" w:rsidRPr="00AC6D7A" w:rsidRDefault="00762E87" w:rsidP="00762E87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762E87" w:rsidRPr="00AC6D7A" w:rsidRDefault="00762E87" w:rsidP="00762E87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762E87" w:rsidRPr="00AC6D7A" w:rsidRDefault="00762E87" w:rsidP="00762E87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762E87" w:rsidRDefault="00762E87" w:rsidP="00762E87">
      <w:pPr>
        <w:pStyle w:val="ae"/>
      </w:pPr>
      <w:r w:rsidRPr="00AC6D7A">
        <w:t>Студент-практикант обязан:</w:t>
      </w:r>
    </w:p>
    <w:p w:rsidR="00762E87" w:rsidRPr="00AC6D7A" w:rsidRDefault="00762E87" w:rsidP="00762E87">
      <w:pPr>
        <w:pStyle w:val="ae"/>
      </w:pPr>
      <w:r w:rsidRPr="00AC6D7A">
        <w:t>-Посещать собрания по практике;</w:t>
      </w:r>
    </w:p>
    <w:p w:rsidR="00762E87" w:rsidRPr="00AC6D7A" w:rsidRDefault="00762E87" w:rsidP="00762E87">
      <w:pPr>
        <w:pStyle w:val="ae"/>
      </w:pPr>
      <w:r w:rsidRPr="00AC6D7A">
        <w:t>-Получить от руководителя индивидуальное задание;</w:t>
      </w:r>
    </w:p>
    <w:p w:rsidR="00762E87" w:rsidRPr="00AC6D7A" w:rsidRDefault="00762E87" w:rsidP="00762E87">
      <w:pPr>
        <w:pStyle w:val="ae"/>
      </w:pPr>
      <w:r w:rsidRPr="00AC6D7A">
        <w:t>-Ознакомиться с содержанием практики и индивидуальным заданием;</w:t>
      </w:r>
    </w:p>
    <w:p w:rsidR="00762E87" w:rsidRPr="00AC6D7A" w:rsidRDefault="00762E87" w:rsidP="00762E87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762E87" w:rsidRPr="00AC6D7A" w:rsidRDefault="00762E87" w:rsidP="00762E87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762E87" w:rsidRPr="00AC6D7A" w:rsidRDefault="00762E87" w:rsidP="00762E87">
      <w:pPr>
        <w:pStyle w:val="ae"/>
      </w:pPr>
      <w:r w:rsidRPr="00AC6D7A">
        <w:t>-Своевременно накапливать материалы для отчета по практике;</w:t>
      </w:r>
    </w:p>
    <w:p w:rsidR="00762E87" w:rsidRPr="00AC6D7A" w:rsidRDefault="00762E87" w:rsidP="00762E87">
      <w:pPr>
        <w:pStyle w:val="ae"/>
      </w:pPr>
      <w:r w:rsidRPr="00AC6D7A"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762E87" w:rsidRPr="00AC6D7A" w:rsidRDefault="00762E87" w:rsidP="00762E87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762E87" w:rsidRPr="00AC6D7A" w:rsidRDefault="00762E87" w:rsidP="00762E87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762E87" w:rsidRPr="00AC6D7A" w:rsidRDefault="00762E87" w:rsidP="00762E87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762E87" w:rsidRPr="00AC6D7A" w:rsidRDefault="00762E87" w:rsidP="00762E87">
      <w:pPr>
        <w:pStyle w:val="ae"/>
      </w:pPr>
      <w:r w:rsidRPr="00AC6D7A">
        <w:t>-проведение ознакомительных лекций;</w:t>
      </w:r>
    </w:p>
    <w:p w:rsidR="00762E87" w:rsidRPr="00AC6D7A" w:rsidRDefault="00762E87" w:rsidP="00762E87">
      <w:pPr>
        <w:pStyle w:val="ae"/>
      </w:pPr>
      <w:r w:rsidRPr="00AC6D7A">
        <w:t>-обсуждение материалов практики с руководителем;</w:t>
      </w:r>
    </w:p>
    <w:p w:rsidR="00762E87" w:rsidRPr="00AC6D7A" w:rsidRDefault="00762E87" w:rsidP="00762E87">
      <w:pPr>
        <w:pStyle w:val="ae"/>
      </w:pPr>
      <w:r w:rsidRPr="00AC6D7A">
        <w:t>-проведение публичной защиты.</w:t>
      </w:r>
    </w:p>
    <w:p w:rsidR="00762E87" w:rsidRPr="00AC6D7A" w:rsidRDefault="00762E87" w:rsidP="00762E87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762E87" w:rsidRPr="00AC6D7A" w:rsidRDefault="00762E87" w:rsidP="00762E87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762E87" w:rsidRPr="00AC6D7A" w:rsidRDefault="00762E87" w:rsidP="00762E87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задание,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содержание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реферата.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Текст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 xml:space="preserve">), шрифтом </w:t>
      </w:r>
      <w:proofErr w:type="spellStart"/>
      <w:r w:rsidRPr="00AC6D7A">
        <w:rPr>
          <w:rFonts w:ascii="Times New Roman" w:hAnsi="Times New Roman" w:cs="Times New Roman"/>
        </w:rPr>
        <w:t>TimesNewRoman</w:t>
      </w:r>
      <w:proofErr w:type="spellEnd"/>
      <w:r w:rsidRPr="00AC6D7A">
        <w:rPr>
          <w:rFonts w:ascii="Times New Roman" w:hAnsi="Times New Roman" w:cs="Times New Roman"/>
        </w:rPr>
        <w:t xml:space="preserve">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Общий объем отчета - не менее 12 страниц.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</w:t>
      </w:r>
      <w:r w:rsidR="00B339B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задание (введение, основная часть, заключение, список источников и литературы)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762E87" w:rsidRPr="00AC6D7A" w:rsidRDefault="00762E87" w:rsidP="00762E87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lastRenderedPageBreak/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762E87" w:rsidRPr="00AC6D7A" w:rsidRDefault="00762E87" w:rsidP="00762E87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762E87" w:rsidRPr="00AC6D7A" w:rsidRDefault="00762E87" w:rsidP="00762E87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762E87" w:rsidRPr="00AC6D7A" w:rsidRDefault="00762E87" w:rsidP="00762E87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762E87" w:rsidRPr="00AC6D7A" w:rsidRDefault="00762E87" w:rsidP="00762E87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762E87" w:rsidRPr="00A87068" w:rsidRDefault="00762E87" w:rsidP="00762E87">
      <w:pPr>
        <w:pStyle w:val="ae"/>
      </w:pPr>
      <w:r>
        <w:t xml:space="preserve">1.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762E87" w:rsidRPr="00A87068" w:rsidRDefault="00762E87" w:rsidP="00762E87">
      <w:pPr>
        <w:pStyle w:val="ae"/>
      </w:pPr>
      <w:r>
        <w:t xml:space="preserve">2.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252DAE">
        <w:t>2020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Pr="000919B4" w:rsidRDefault="00BC705A" w:rsidP="003F2FDE">
      <w:pPr>
        <w:pStyle w:val="1"/>
      </w:pPr>
      <w:bookmarkStart w:id="32" w:name="_Toc505703118"/>
      <w:bookmarkStart w:id="33" w:name="_Toc505716914"/>
      <w:bookmarkEnd w:id="17"/>
      <w:r>
        <w:t>6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="003F2FDE" w:rsidRPr="000919B4">
        <w:t>)</w:t>
      </w:r>
      <w:bookmarkEnd w:id="32"/>
      <w:bookmarkEnd w:id="33"/>
    </w:p>
    <w:p w:rsidR="003F2FDE" w:rsidRPr="000919B4" w:rsidRDefault="00BC705A" w:rsidP="003F2FDE">
      <w:pPr>
        <w:pStyle w:val="1"/>
      </w:pPr>
      <w:bookmarkStart w:id="34" w:name="_Toc505703119"/>
      <w:bookmarkStart w:id="35" w:name="_Toc505716915"/>
      <w:r>
        <w:t>6</w:t>
      </w:r>
      <w:r w:rsidR="003F2FDE" w:rsidRPr="000919B4">
        <w:t>.1. Основная литература</w:t>
      </w:r>
      <w:bookmarkEnd w:id="34"/>
      <w:bookmarkEnd w:id="35"/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r w:rsidRPr="00A95478">
        <w:rPr>
          <w:shd w:val="clear" w:color="auto" w:fill="FFFFFF"/>
        </w:rPr>
        <w:t>РезникС.Д.,</w:t>
      </w:r>
      <w:proofErr w:type="spellStart"/>
      <w:r w:rsidRPr="00A95478">
        <w:rPr>
          <w:shd w:val="clear" w:color="auto" w:fill="FFFFFF"/>
        </w:rPr>
        <w:t>ЧемезовИ.С</w:t>
      </w:r>
      <w:proofErr w:type="spellEnd"/>
      <w:r w:rsidRPr="00A95478">
        <w:rPr>
          <w:shd w:val="clear" w:color="auto" w:fill="FFFFFF"/>
        </w:rPr>
        <w:t>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3F2FDE" w:rsidRPr="00836C83" w:rsidRDefault="003F2FDE" w:rsidP="006529C5">
      <w:pPr>
        <w:pStyle w:val="ae"/>
        <w:widowControl/>
        <w:numPr>
          <w:ilvl w:val="0"/>
          <w:numId w:val="18"/>
        </w:numPr>
        <w:tabs>
          <w:tab w:val="left" w:pos="284"/>
        </w:tabs>
        <w:ind w:left="0" w:firstLine="0"/>
        <w:jc w:val="left"/>
      </w:pPr>
      <w:proofErr w:type="spellStart"/>
      <w:r>
        <w:rPr>
          <w:shd w:val="clear" w:color="auto" w:fill="FFFFFF"/>
        </w:rPr>
        <w:t>РезникС.Д</w:t>
      </w:r>
      <w:proofErr w:type="spellEnd"/>
      <w:r>
        <w:rPr>
          <w:shd w:val="clear" w:color="auto" w:fill="FFFFFF"/>
        </w:rPr>
        <w:t xml:space="preserve">., </w:t>
      </w:r>
      <w:proofErr w:type="spellStart"/>
      <w:r>
        <w:rPr>
          <w:shd w:val="clear" w:color="auto" w:fill="FFFFFF"/>
        </w:rPr>
        <w:t>СазыкинаО.А</w:t>
      </w:r>
      <w:proofErr w:type="spellEnd"/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3F2FDE" w:rsidRPr="00A87068" w:rsidRDefault="003F2FDE" w:rsidP="003F2FDE">
      <w:pPr>
        <w:pStyle w:val="ae"/>
      </w:pPr>
      <w:r>
        <w:t xml:space="preserve">3.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Pr="00A87068" w:rsidRDefault="003F2FDE" w:rsidP="003F2FDE">
      <w:pPr>
        <w:pStyle w:val="ae"/>
      </w:pPr>
      <w:r>
        <w:t xml:space="preserve">4.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252DAE">
        <w:t>2020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3F2FDE" w:rsidRPr="000919B4" w:rsidRDefault="00BC705A" w:rsidP="00B339B0">
      <w:pPr>
        <w:pStyle w:val="1"/>
        <w:tabs>
          <w:tab w:val="left" w:pos="284"/>
        </w:tabs>
      </w:pPr>
      <w:bookmarkStart w:id="36" w:name="_Toc505703120"/>
      <w:bookmarkStart w:id="37" w:name="_Toc505716916"/>
      <w:r>
        <w:t>6</w:t>
      </w:r>
      <w:r w:rsidR="003F2FDE" w:rsidRPr="000919B4">
        <w:t>.2. Дополнительная литература</w:t>
      </w:r>
      <w:bookmarkEnd w:id="36"/>
      <w:bookmarkEnd w:id="37"/>
    </w:p>
    <w:p w:rsidR="003F2FDE" w:rsidRPr="000919B4" w:rsidRDefault="00BC705A" w:rsidP="003F2FDE">
      <w:pPr>
        <w:pStyle w:val="1"/>
      </w:pPr>
      <w:bookmarkStart w:id="38" w:name="_Toc505703121"/>
      <w:bookmarkStart w:id="39" w:name="_Toc505716917"/>
      <w:r>
        <w:t>6</w:t>
      </w:r>
      <w:r w:rsidR="003F2FDE" w:rsidRPr="000919B4">
        <w:t>.3. Периодические издания</w:t>
      </w:r>
      <w:bookmarkEnd w:id="38"/>
      <w:bookmarkEnd w:id="39"/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Научный журнал: Известия вузов. </w:t>
      </w:r>
      <w:proofErr w:type="spellStart"/>
      <w:r w:rsidRPr="000919B4">
        <w:rPr>
          <w:rFonts w:ascii="Times New Roman" w:hAnsi="Times New Roman" w:cs="Times New Roman"/>
        </w:rPr>
        <w:t>Северо</w:t>
      </w:r>
      <w:proofErr w:type="spellEnd"/>
      <w:r w:rsidRPr="000919B4">
        <w:rPr>
          <w:rFonts w:ascii="Times New Roman" w:hAnsi="Times New Roman" w:cs="Times New Roman"/>
        </w:rPr>
        <w:t xml:space="preserve"> - Кавказский регион. Общественные науки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3F2FDE" w:rsidRPr="000919B4" w:rsidRDefault="003F2FDE" w:rsidP="003F2FDE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3F2FDE" w:rsidRPr="000919B4" w:rsidRDefault="00BC705A" w:rsidP="003F2FDE">
      <w:pPr>
        <w:pStyle w:val="1"/>
        <w:rPr>
          <w:rFonts w:eastAsia="Arial"/>
        </w:rPr>
      </w:pPr>
      <w:bookmarkStart w:id="40" w:name="_Toc505703122"/>
      <w:bookmarkStart w:id="41" w:name="_Toc505716918"/>
      <w:r>
        <w:rPr>
          <w:rFonts w:eastAsia="Arial"/>
        </w:rPr>
        <w:lastRenderedPageBreak/>
        <w:t>7</w:t>
      </w:r>
      <w:r w:rsidR="003F2FDE" w:rsidRPr="000919B4">
        <w:rPr>
          <w:rFonts w:eastAsia="Arial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40"/>
      <w:bookmarkEnd w:id="41"/>
    </w:p>
    <w:p w:rsidR="003F2FDE" w:rsidRPr="000919B4" w:rsidRDefault="003F2FDE" w:rsidP="003F2FDE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Поисковые системы </w:t>
      </w:r>
      <w:proofErr w:type="spellStart"/>
      <w:r w:rsidRPr="000919B4">
        <w:t>Яндекс.ру</w:t>
      </w:r>
      <w:proofErr w:type="spellEnd"/>
      <w:r w:rsidRPr="000919B4">
        <w:t xml:space="preserve"> (http://www.yandex.ru/), </w:t>
      </w:r>
      <w:proofErr w:type="spellStart"/>
      <w:r w:rsidRPr="000919B4">
        <w:t>Google</w:t>
      </w:r>
      <w:proofErr w:type="spellEnd"/>
      <w:r w:rsidRPr="000919B4">
        <w:t xml:space="preserve"> (http://www.google.ru), Bing.com (http://www.bing.com/).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GoogleScholar</w:t>
      </w:r>
      <w:proofErr w:type="spellEnd"/>
      <w:r w:rsidRPr="000919B4">
        <w:t xml:space="preserve">» - Поиск научной информации (http://scholar.google.com/). </w:t>
      </w:r>
    </w:p>
    <w:p w:rsidR="003F2FDE" w:rsidRPr="000919B4" w:rsidRDefault="003F2FDE" w:rsidP="003F2FDE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Scirus</w:t>
      </w:r>
      <w:proofErr w:type="spellEnd"/>
      <w:r w:rsidRPr="000919B4">
        <w:t xml:space="preserve">» - Поиск научной информации (http://www.scirus.com/). </w:t>
      </w:r>
    </w:p>
    <w:p w:rsidR="003F2FDE" w:rsidRPr="000919B4" w:rsidRDefault="003F2FDE" w:rsidP="003F2FDE">
      <w:pPr>
        <w:pStyle w:val="ae"/>
      </w:pPr>
      <w:r w:rsidRPr="000919B4">
        <w:t>«</w:t>
      </w:r>
      <w:proofErr w:type="spellStart"/>
      <w:r w:rsidRPr="000919B4">
        <w:t>Сигла</w:t>
      </w:r>
      <w:proofErr w:type="spellEnd"/>
      <w:r w:rsidRPr="000919B4">
        <w:t>» - Поиск в электронных каталогах российских и зарубежных библиотек (http://www.sigla.ru/).</w:t>
      </w:r>
    </w:p>
    <w:p w:rsidR="003F2FDE" w:rsidRPr="004905E7" w:rsidRDefault="00BC705A" w:rsidP="003F2FDE">
      <w:pPr>
        <w:pStyle w:val="1"/>
      </w:pPr>
      <w:bookmarkStart w:id="42" w:name="_Toc505703123"/>
      <w:bookmarkStart w:id="43" w:name="_Toc505716919"/>
      <w:r>
        <w:t>8</w:t>
      </w:r>
      <w:r w:rsidR="003F2FDE" w:rsidRPr="004905E7">
        <w:t xml:space="preserve">. Методические указания для </w:t>
      </w:r>
      <w:r w:rsidR="003F2FDE"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42"/>
      <w:bookmarkEnd w:id="43"/>
    </w:p>
    <w:p w:rsidR="003F2FDE" w:rsidRPr="00961B95" w:rsidRDefault="003F2FDE" w:rsidP="003F2FDE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</w:rPr>
      </w:pPr>
      <w:bookmarkStart w:id="44" w:name="_Toc505703124"/>
      <w:r w:rsidRPr="00961B95">
        <w:rPr>
          <w:rFonts w:ascii="Times New Roman" w:hAnsi="Times New Roman" w:cs="Times New Roman"/>
        </w:rPr>
        <w:t>Учебной (</w:t>
      </w:r>
      <w:proofErr w:type="gramStart"/>
      <w:r w:rsidRPr="00961B95">
        <w:rPr>
          <w:rFonts w:ascii="Times New Roman" w:hAnsi="Times New Roman" w:cs="Times New Roman"/>
        </w:rPr>
        <w:t xml:space="preserve">педагогической)   </w:t>
      </w:r>
      <w:proofErr w:type="gramEnd"/>
      <w:r w:rsidRPr="00961B95">
        <w:rPr>
          <w:rFonts w:ascii="Times New Roman" w:hAnsi="Times New Roman" w:cs="Times New Roman"/>
        </w:rPr>
        <w:t>практике</w:t>
      </w:r>
      <w:r w:rsidR="00B339B0">
        <w:rPr>
          <w:rFonts w:ascii="Times New Roman" w:hAnsi="Times New Roman" w:cs="Times New Roman"/>
        </w:rPr>
        <w:t xml:space="preserve"> </w:t>
      </w:r>
      <w:r w:rsidRPr="00961B95">
        <w:rPr>
          <w:rFonts w:ascii="Times New Roman" w:hAnsi="Times New Roman" w:cs="Times New Roman"/>
        </w:rPr>
        <w:t>предшествует изучение дисциплин профессионального циклов  ФГОС ВПО, а также курсов по выбору магистрантов, предусматривающих лекционные, семинарские и практические занятия. Учебная (</w:t>
      </w:r>
      <w:proofErr w:type="gramStart"/>
      <w:r w:rsidRPr="00961B95">
        <w:rPr>
          <w:rFonts w:ascii="Times New Roman" w:hAnsi="Times New Roman" w:cs="Times New Roman"/>
        </w:rPr>
        <w:t xml:space="preserve">педагогическая)   </w:t>
      </w:r>
      <w:proofErr w:type="gramEnd"/>
      <w:r w:rsidRPr="00961B95">
        <w:rPr>
          <w:rFonts w:ascii="Times New Roman" w:hAnsi="Times New Roman" w:cs="Times New Roman"/>
        </w:rPr>
        <w:t>практика</w:t>
      </w:r>
      <w:r w:rsidR="00B339B0">
        <w:rPr>
          <w:rFonts w:ascii="Times New Roman" w:hAnsi="Times New Roman" w:cs="Times New Roman"/>
        </w:rPr>
        <w:t xml:space="preserve"> </w:t>
      </w:r>
      <w:r w:rsidRPr="00961B95">
        <w:rPr>
          <w:rFonts w:ascii="Times New Roman" w:hAnsi="Times New Roman" w:cs="Times New Roman"/>
        </w:rPr>
        <w:t>является логическим завершением изучения данных дисциплин.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Учебная (педагогическая)   практика базируется на изучении всех дисциплин учебного плана.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Логическая взаимосвязь учебной (педагогической)   практики с другими частями ОП прослеживается в наличии одинаковых терминов, в соответствующих тезаурусах, схожих компонентов понятийно терминологических систем, единых общенаучных подходов к решению возникающих проблем (</w:t>
      </w:r>
      <w:proofErr w:type="spellStart"/>
      <w:r w:rsidRPr="00961B95">
        <w:rPr>
          <w:rFonts w:ascii="Times New Roman" w:hAnsi="Times New Roman" w:cs="Times New Roman"/>
        </w:rPr>
        <w:t>деятельностный</w:t>
      </w:r>
      <w:proofErr w:type="spellEnd"/>
      <w:r w:rsidRPr="00961B95">
        <w:rPr>
          <w:rFonts w:ascii="Times New Roman" w:hAnsi="Times New Roman" w:cs="Times New Roman"/>
        </w:rPr>
        <w:t xml:space="preserve"> подход, системный анализ).</w:t>
      </w:r>
    </w:p>
    <w:p w:rsidR="003F2FDE" w:rsidRPr="00961B95" w:rsidRDefault="003F2FDE" w:rsidP="003F2FDE">
      <w:pPr>
        <w:pStyle w:val="af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Основу содержательно-методической взаимосвязи учебной (педагогической)   практики с другими частями ООП составляет формирование общекультурных, общепрофессиональных и профессиональных компетенций, перечисленных в задачах практики.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Учебная (педагогическая)   практика 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F2FDE" w:rsidRPr="00961B95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Учебно-методическое руководство   учебной (педагогической)   практикой магистрантов по магистерской программе 40.04.01.   (квалификация (степень) магистр) «Уголовное право, уголовно-исполнительное право, криминология» осуществляет кафедра уголовного права и криминологии, которая обеспечивает выполнение  планов программ практики и высокое качество ее проведения.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Заведующий кафедрой или преподаватель, ответственный за </w:t>
      </w:r>
      <w:proofErr w:type="spellStart"/>
      <w:r w:rsidRPr="00961B95">
        <w:rPr>
          <w:szCs w:val="24"/>
        </w:rPr>
        <w:t>профориентационную</w:t>
      </w:r>
      <w:proofErr w:type="spellEnd"/>
      <w:r w:rsidRPr="00961B95">
        <w:rPr>
          <w:szCs w:val="24"/>
        </w:rPr>
        <w:t xml:space="preserve"> деятельность за два месяца до начала практики согласовывает с учреждениями и 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Заведующий кафедрой назначает руководителя учебной (педагогической)   практикой из </w:t>
      </w:r>
      <w:r w:rsidRPr="00961B95">
        <w:rPr>
          <w:szCs w:val="24"/>
        </w:rPr>
        <w:lastRenderedPageBreak/>
        <w:t>числа опытных профессоров, доцентов и преподавателей. Заведующий кафедрой осуществляет строгий контроль</w:t>
      </w:r>
      <w:r w:rsidR="00B339B0">
        <w:rPr>
          <w:szCs w:val="24"/>
        </w:rPr>
        <w:t xml:space="preserve"> </w:t>
      </w:r>
      <w:r w:rsidRPr="00961B95">
        <w:rPr>
          <w:szCs w:val="24"/>
        </w:rPr>
        <w:t>за</w:t>
      </w:r>
      <w:r w:rsidR="00B339B0">
        <w:rPr>
          <w:szCs w:val="24"/>
        </w:rPr>
        <w:t xml:space="preserve"> </w:t>
      </w:r>
      <w:r w:rsidRPr="00961B95">
        <w:rPr>
          <w:szCs w:val="24"/>
        </w:rPr>
        <w:t>организацией   и   провед</w:t>
      </w:r>
      <w:r w:rsidR="00B339B0">
        <w:rPr>
          <w:szCs w:val="24"/>
        </w:rPr>
        <w:t>ением учебной (педагогической)</w:t>
      </w:r>
      <w:r w:rsidRPr="00961B95">
        <w:rPr>
          <w:szCs w:val="24"/>
        </w:rPr>
        <w:t xml:space="preserve"> практики </w:t>
      </w:r>
      <w:r w:rsidR="00B339B0">
        <w:rPr>
          <w:szCs w:val="24"/>
        </w:rPr>
        <w:t xml:space="preserve">магистрантов непосредственно в </w:t>
      </w:r>
      <w:r w:rsidRPr="00961B95">
        <w:rPr>
          <w:szCs w:val="24"/>
        </w:rPr>
        <w:t>учреждениях и в организациях,</w:t>
      </w:r>
      <w:r w:rsidR="00B339B0">
        <w:rPr>
          <w:szCs w:val="24"/>
        </w:rPr>
        <w:t xml:space="preserve"> </w:t>
      </w:r>
      <w:r w:rsidRPr="00961B95">
        <w:rPr>
          <w:szCs w:val="24"/>
        </w:rPr>
        <w:t>за соблюдением ее сроков и содержанием.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Вся работа по организации учебной (педагогической)   практики магистрантов проводится заведующим кафедрой или назначенным им руководителем практики от кафедры в тесном контакте с соответствующим руководителем практики от учреждения и организации.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осуществляет контроль за обеспечением учреждением, 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</w:t>
      </w:r>
      <w:r w:rsidR="00B339B0">
        <w:rPr>
          <w:szCs w:val="24"/>
        </w:rPr>
        <w:t xml:space="preserve"> </w:t>
      </w:r>
      <w:r w:rsidRPr="00961B95">
        <w:rPr>
          <w:szCs w:val="24"/>
        </w:rPr>
        <w:t>по</w:t>
      </w:r>
      <w:r w:rsidR="00B339B0">
        <w:rPr>
          <w:szCs w:val="24"/>
        </w:rPr>
        <w:t xml:space="preserve"> </w:t>
      </w:r>
      <w:r w:rsidRPr="00961B95">
        <w:rPr>
          <w:szCs w:val="24"/>
        </w:rPr>
        <w:t>приему зачетов по практике и в подготовке научных работ по итогам учебной (</w:t>
      </w:r>
      <w:proofErr w:type="gramStart"/>
      <w:r w:rsidRPr="00961B95">
        <w:rPr>
          <w:szCs w:val="24"/>
        </w:rPr>
        <w:t xml:space="preserve">педагогической)   </w:t>
      </w:r>
      <w:proofErr w:type="gramEnd"/>
      <w:r w:rsidRPr="00961B95">
        <w:rPr>
          <w:szCs w:val="24"/>
        </w:rPr>
        <w:t>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F2FDE" w:rsidRPr="00961B95" w:rsidRDefault="003F2FDE" w:rsidP="003F2FDE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Магистрант-практикант обязан представить руководителю практики от кафедры </w:t>
      </w:r>
      <w:r w:rsidRPr="00961B95">
        <w:rPr>
          <w:szCs w:val="24"/>
        </w:rPr>
        <w:lastRenderedPageBreak/>
        <w:t>письменный отчет о выполнении всех заданий и сдать зачет по практике.</w:t>
      </w:r>
    </w:p>
    <w:p w:rsidR="003F2FDE" w:rsidRPr="00684B57" w:rsidRDefault="003F2FDE" w:rsidP="003F2FDE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3F2FDE" w:rsidRPr="00684B57" w:rsidRDefault="003F2FDE" w:rsidP="003F2FDE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3F2FDE" w:rsidRPr="00684B57" w:rsidRDefault="003F2FDE" w:rsidP="006529C5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3F2FDE" w:rsidRPr="00684B57" w:rsidRDefault="003F2FDE" w:rsidP="003F2FD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3F2FDE" w:rsidRPr="00684B57" w:rsidRDefault="003F2FDE" w:rsidP="003F2FDE">
      <w:pPr>
        <w:pStyle w:val="ae"/>
        <w:tabs>
          <w:tab w:val="left" w:pos="284"/>
        </w:tabs>
      </w:pPr>
      <w:bookmarkStart w:id="45" w:name="_Toc376378348"/>
      <w:r w:rsidRPr="00684B57">
        <w:t xml:space="preserve">Во время прохождения практики магистрант обязан: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3F2FDE" w:rsidRPr="00684B57" w:rsidRDefault="003F2FDE" w:rsidP="006529C5">
      <w:pPr>
        <w:pStyle w:val="ae"/>
        <w:widowControl/>
        <w:numPr>
          <w:ilvl w:val="0"/>
          <w:numId w:val="17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lastRenderedPageBreak/>
        <w:t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3F2FDE" w:rsidRPr="00684B57" w:rsidRDefault="003F2FDE" w:rsidP="003F2FDE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3F2FDE" w:rsidRPr="00684B57" w:rsidRDefault="003F2FDE" w:rsidP="006529C5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p w:rsidR="003F2FDE" w:rsidRPr="000919B4" w:rsidRDefault="00BC705A" w:rsidP="003F2FDE">
      <w:pPr>
        <w:pStyle w:val="1"/>
      </w:pPr>
      <w:bookmarkStart w:id="46" w:name="_Toc505716920"/>
      <w:bookmarkEnd w:id="45"/>
      <w:r>
        <w:t>9</w:t>
      </w:r>
      <w:r w:rsidR="003F2FDE" w:rsidRPr="000919B4">
        <w:t xml:space="preserve">. </w:t>
      </w:r>
      <w:r w:rsidR="003F2FDE"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44"/>
      <w:bookmarkEnd w:id="46"/>
    </w:p>
    <w:p w:rsidR="003F2FDE" w:rsidRPr="000919B4" w:rsidRDefault="003F2FDE" w:rsidP="003F2FDE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3F2FDE" w:rsidRPr="000919B4" w:rsidRDefault="003F2FDE" w:rsidP="003F2FDE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3F2FDE" w:rsidRPr="000919B4" w:rsidRDefault="00BC705A" w:rsidP="003F2FDE">
      <w:pPr>
        <w:pStyle w:val="1"/>
      </w:pPr>
      <w:bookmarkStart w:id="47" w:name="_Toc505703125"/>
      <w:bookmarkStart w:id="48" w:name="_Toc505716921"/>
      <w:r>
        <w:t>10</w:t>
      </w:r>
      <w:r w:rsidR="003F2FDE" w:rsidRPr="000919B4">
        <w:t xml:space="preserve">. </w:t>
      </w:r>
      <w:r w:rsidR="003F2FDE"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2"/>
        <w:gridCol w:w="3859"/>
      </w:tblGrid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</w:t>
            </w:r>
            <w:r w:rsidR="00B339B0">
              <w:rPr>
                <w:sz w:val="24"/>
                <w:lang w:eastAsia="ru-RU"/>
              </w:rPr>
              <w:t xml:space="preserve"> </w:t>
            </w:r>
            <w:r w:rsidRPr="000919B4">
              <w:rPr>
                <w:sz w:val="24"/>
                <w:lang w:val="en-US" w:eastAsia="ru-RU"/>
              </w:rPr>
              <w:t>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3F2FDE" w:rsidRPr="000919B4" w:rsidTr="003F2FD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</w:t>
            </w:r>
            <w:r w:rsidR="00B339B0">
              <w:rPr>
                <w:sz w:val="24"/>
                <w:lang w:eastAsia="ru-RU"/>
              </w:rPr>
              <w:t xml:space="preserve"> </w:t>
            </w:r>
            <w:r w:rsidRPr="000919B4">
              <w:rPr>
                <w:sz w:val="24"/>
                <w:lang w:val="en-US" w:eastAsia="ru-RU"/>
              </w:rPr>
              <w:t>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0919B4" w:rsidRDefault="003F2FDE" w:rsidP="003F2FDE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3F2FDE" w:rsidRPr="000919B4" w:rsidRDefault="003F2FDE" w:rsidP="003F2FDE">
      <w:pPr>
        <w:pStyle w:val="1"/>
      </w:pPr>
    </w:p>
    <w:p w:rsidR="003F2FDE" w:rsidRPr="000919B4" w:rsidRDefault="003F2FDE" w:rsidP="003F2FDE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3F2FD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29" w:rsidRPr="00496451" w:rsidRDefault="00F30129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F30129" w:rsidRPr="00496451" w:rsidRDefault="00F30129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29" w:rsidRPr="00496451" w:rsidRDefault="00F30129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F30129" w:rsidRPr="00496451" w:rsidRDefault="00F30129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DE" w:rsidRDefault="00F301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2FDE" w:rsidRDefault="003F2FDE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DE" w:rsidRDefault="00F301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2FDE" w:rsidRDefault="003F2FD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 w15:restartNumberingAfterBreak="0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7321"/>
    <w:multiLevelType w:val="hybridMultilevel"/>
    <w:tmpl w:val="6E58A0C8"/>
    <w:lvl w:ilvl="0" w:tplc="2180B2F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865C94"/>
    <w:multiLevelType w:val="hybridMultilevel"/>
    <w:tmpl w:val="C386A8D4"/>
    <w:lvl w:ilvl="0" w:tplc="2180B2F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7"/>
  </w:num>
  <w:num w:numId="8">
    <w:abstractNumId w:val="19"/>
  </w:num>
  <w:num w:numId="9">
    <w:abstractNumId w:val="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45C00"/>
    <w:rsid w:val="0006254E"/>
    <w:rsid w:val="00064673"/>
    <w:rsid w:val="0007418E"/>
    <w:rsid w:val="00074F24"/>
    <w:rsid w:val="0008076F"/>
    <w:rsid w:val="00081A72"/>
    <w:rsid w:val="000919B4"/>
    <w:rsid w:val="000927FE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242BA"/>
    <w:rsid w:val="00131E5A"/>
    <w:rsid w:val="00136B6B"/>
    <w:rsid w:val="00173B7E"/>
    <w:rsid w:val="00176359"/>
    <w:rsid w:val="001763EC"/>
    <w:rsid w:val="00180169"/>
    <w:rsid w:val="00191EA6"/>
    <w:rsid w:val="001B0ACE"/>
    <w:rsid w:val="001C4DD4"/>
    <w:rsid w:val="001F6404"/>
    <w:rsid w:val="00206003"/>
    <w:rsid w:val="002110B7"/>
    <w:rsid w:val="00222085"/>
    <w:rsid w:val="0022413B"/>
    <w:rsid w:val="0024252D"/>
    <w:rsid w:val="00252600"/>
    <w:rsid w:val="00252DAE"/>
    <w:rsid w:val="00256089"/>
    <w:rsid w:val="002608EE"/>
    <w:rsid w:val="002A767D"/>
    <w:rsid w:val="002C0E3B"/>
    <w:rsid w:val="002D5ED9"/>
    <w:rsid w:val="002E1A7A"/>
    <w:rsid w:val="002E4E97"/>
    <w:rsid w:val="002E691A"/>
    <w:rsid w:val="002E7541"/>
    <w:rsid w:val="00325C5D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2FDE"/>
    <w:rsid w:val="003F41F9"/>
    <w:rsid w:val="003F459B"/>
    <w:rsid w:val="003F5506"/>
    <w:rsid w:val="0040793A"/>
    <w:rsid w:val="004347AA"/>
    <w:rsid w:val="00435BA6"/>
    <w:rsid w:val="004641D0"/>
    <w:rsid w:val="00496451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6031"/>
    <w:rsid w:val="004F40F2"/>
    <w:rsid w:val="00516EB7"/>
    <w:rsid w:val="0052479F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5D7F97"/>
    <w:rsid w:val="00601B96"/>
    <w:rsid w:val="006178E5"/>
    <w:rsid w:val="00635EEF"/>
    <w:rsid w:val="00646937"/>
    <w:rsid w:val="006529C5"/>
    <w:rsid w:val="006556D1"/>
    <w:rsid w:val="00667F2A"/>
    <w:rsid w:val="00673235"/>
    <w:rsid w:val="00680C12"/>
    <w:rsid w:val="00684B57"/>
    <w:rsid w:val="006870FE"/>
    <w:rsid w:val="00694452"/>
    <w:rsid w:val="006A009B"/>
    <w:rsid w:val="006A081B"/>
    <w:rsid w:val="006D1BC5"/>
    <w:rsid w:val="006D730F"/>
    <w:rsid w:val="006D7447"/>
    <w:rsid w:val="006F011B"/>
    <w:rsid w:val="007062DF"/>
    <w:rsid w:val="007164D5"/>
    <w:rsid w:val="00725458"/>
    <w:rsid w:val="007326EA"/>
    <w:rsid w:val="00756F9C"/>
    <w:rsid w:val="00762E87"/>
    <w:rsid w:val="0078441D"/>
    <w:rsid w:val="00785F89"/>
    <w:rsid w:val="00793C72"/>
    <w:rsid w:val="007C4241"/>
    <w:rsid w:val="007C499C"/>
    <w:rsid w:val="007E53DB"/>
    <w:rsid w:val="008028F6"/>
    <w:rsid w:val="0080527F"/>
    <w:rsid w:val="0081382D"/>
    <w:rsid w:val="00816C76"/>
    <w:rsid w:val="00846FE4"/>
    <w:rsid w:val="008505A5"/>
    <w:rsid w:val="0085186D"/>
    <w:rsid w:val="0086514E"/>
    <w:rsid w:val="00870253"/>
    <w:rsid w:val="00892737"/>
    <w:rsid w:val="008E70E5"/>
    <w:rsid w:val="008F598C"/>
    <w:rsid w:val="00907E50"/>
    <w:rsid w:val="00945312"/>
    <w:rsid w:val="00946279"/>
    <w:rsid w:val="00961B95"/>
    <w:rsid w:val="00962780"/>
    <w:rsid w:val="009631E0"/>
    <w:rsid w:val="0099260A"/>
    <w:rsid w:val="009A2BB4"/>
    <w:rsid w:val="009B7822"/>
    <w:rsid w:val="009C1926"/>
    <w:rsid w:val="009F0711"/>
    <w:rsid w:val="009F6023"/>
    <w:rsid w:val="009F638E"/>
    <w:rsid w:val="00A022BD"/>
    <w:rsid w:val="00A1368E"/>
    <w:rsid w:val="00A13750"/>
    <w:rsid w:val="00A30C27"/>
    <w:rsid w:val="00A44F9F"/>
    <w:rsid w:val="00A45748"/>
    <w:rsid w:val="00A505FC"/>
    <w:rsid w:val="00A50C3D"/>
    <w:rsid w:val="00A70CE9"/>
    <w:rsid w:val="00A7338F"/>
    <w:rsid w:val="00A80D48"/>
    <w:rsid w:val="00A80FF7"/>
    <w:rsid w:val="00A82860"/>
    <w:rsid w:val="00AB28B7"/>
    <w:rsid w:val="00AD0A75"/>
    <w:rsid w:val="00AD5300"/>
    <w:rsid w:val="00AD7C34"/>
    <w:rsid w:val="00AE2E59"/>
    <w:rsid w:val="00AE7918"/>
    <w:rsid w:val="00B0013E"/>
    <w:rsid w:val="00B22F6F"/>
    <w:rsid w:val="00B339B0"/>
    <w:rsid w:val="00B417B2"/>
    <w:rsid w:val="00B60C1E"/>
    <w:rsid w:val="00B65E8C"/>
    <w:rsid w:val="00B6609F"/>
    <w:rsid w:val="00B925CE"/>
    <w:rsid w:val="00BB2B9A"/>
    <w:rsid w:val="00BB334E"/>
    <w:rsid w:val="00BB3773"/>
    <w:rsid w:val="00BC705A"/>
    <w:rsid w:val="00C12B90"/>
    <w:rsid w:val="00C17896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54EC"/>
    <w:rsid w:val="00DA3091"/>
    <w:rsid w:val="00DA3F3D"/>
    <w:rsid w:val="00DA5744"/>
    <w:rsid w:val="00DA69B7"/>
    <w:rsid w:val="00DB0F82"/>
    <w:rsid w:val="00DC2CAC"/>
    <w:rsid w:val="00DC48FE"/>
    <w:rsid w:val="00DC7705"/>
    <w:rsid w:val="00DE1A6A"/>
    <w:rsid w:val="00DF794F"/>
    <w:rsid w:val="00E05D54"/>
    <w:rsid w:val="00E13241"/>
    <w:rsid w:val="00E35A6B"/>
    <w:rsid w:val="00E44B9C"/>
    <w:rsid w:val="00E6174C"/>
    <w:rsid w:val="00E72274"/>
    <w:rsid w:val="00E76FD9"/>
    <w:rsid w:val="00E80C5C"/>
    <w:rsid w:val="00E93D25"/>
    <w:rsid w:val="00E94D37"/>
    <w:rsid w:val="00EA1C68"/>
    <w:rsid w:val="00EC5247"/>
    <w:rsid w:val="00EE1D5E"/>
    <w:rsid w:val="00EE36FB"/>
    <w:rsid w:val="00EE5436"/>
    <w:rsid w:val="00F02207"/>
    <w:rsid w:val="00F03D69"/>
    <w:rsid w:val="00F041B9"/>
    <w:rsid w:val="00F30129"/>
    <w:rsid w:val="00F36C8A"/>
    <w:rsid w:val="00F82006"/>
    <w:rsid w:val="00F82394"/>
    <w:rsid w:val="00F84BBB"/>
    <w:rsid w:val="00F90B02"/>
    <w:rsid w:val="00F95837"/>
    <w:rsid w:val="00F96C25"/>
    <w:rsid w:val="00FC54B5"/>
    <w:rsid w:val="00FC72A8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09F6EE3E"/>
  <w15:docId w15:val="{2837C904-B6F4-4F4D-B0EC-BEAE491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basedOn w:val="a"/>
    <w:uiPriority w:val="99"/>
    <w:unhideWhenUsed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762E8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762E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3F2FDE"/>
  </w:style>
  <w:style w:type="character" w:customStyle="1" w:styleId="fontstyle13">
    <w:name w:val="fontstyle13"/>
    <w:basedOn w:val="a0"/>
    <w:rsid w:val="003F2FDE"/>
  </w:style>
  <w:style w:type="character" w:styleId="afe">
    <w:name w:val="Emphasis"/>
    <w:uiPriority w:val="20"/>
    <w:qFormat/>
    <w:rsid w:val="003F2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u.ru/major?p=3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16A1-0908-4A43-AB79-DA60BECF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2020-11-18T21:04:00Z</cp:lastPrinted>
  <dcterms:created xsi:type="dcterms:W3CDTF">2019-05-25T18:23:00Z</dcterms:created>
  <dcterms:modified xsi:type="dcterms:W3CDTF">2020-11-23T08:45:00Z</dcterms:modified>
</cp:coreProperties>
</file>