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4" w:rsidRPr="00FC22DA" w:rsidRDefault="00C83D44" w:rsidP="00FC22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2DA">
        <w:rPr>
          <w:rFonts w:ascii="Times New Roman" w:hAnsi="Times New Roman" w:cs="Times New Roman"/>
        </w:rPr>
        <w:t>МИНИСТЕРСТВО   НАУКИ И ВЫСШЕГО ОБРАЗОВАНИЯ РОССИЙСКОЙ ФЕДЕРАЦИИ</w:t>
      </w:r>
    </w:p>
    <w:p w:rsidR="00C83D44" w:rsidRPr="00FC22DA" w:rsidRDefault="00C83D44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C83D44" w:rsidRPr="00FC22DA" w:rsidRDefault="00C83D44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C83D44" w:rsidRPr="00FC22DA" w:rsidRDefault="00C83D44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2DA">
        <w:rPr>
          <w:rFonts w:ascii="Times New Roman" w:hAnsi="Times New Roman" w:cs="Times New Roman"/>
          <w:sz w:val="24"/>
          <w:szCs w:val="24"/>
          <w:u w:val="single"/>
        </w:rPr>
        <w:t>ФИЛОЛОГИЧЕСКИЙ ФАКУЛЬТЕТ</w:t>
      </w: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>(наименование факультета)</w:t>
      </w: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Кафедра русского языка</w:t>
      </w: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FC22DA">
        <w:rPr>
          <w:rFonts w:ascii="Times New Roman" w:hAnsi="Times New Roman" w:cs="Times New Roman"/>
          <w:sz w:val="24"/>
          <w:szCs w:val="24"/>
          <w:u w:val="single"/>
        </w:rPr>
        <w:t>федра Русской и зарубежной литературы</w:t>
      </w:r>
    </w:p>
    <w:p w:rsidR="00C83D44" w:rsidRPr="00FC22DA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C22DA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C83D44" w:rsidRPr="00FC22DA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8"/>
    </w:p>
    <w:p w:rsidR="00C83D44" w:rsidRDefault="00C83D44" w:rsidP="00FC22D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bookmarkEnd w:id="0"/>
    </w:p>
    <w:p w:rsidR="00C83D44" w:rsidRDefault="00C83D44" w:rsidP="00542E9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ПРАКТИКИ</w:t>
      </w:r>
    </w:p>
    <w:p w:rsidR="00C83D44" w:rsidRPr="00542E93" w:rsidRDefault="00C83D44" w:rsidP="00542E93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43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8"/>
        <w:gridCol w:w="4392"/>
      </w:tblGrid>
      <w:tr w:rsidR="00C83D44" w:rsidRPr="00B95586"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4392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</w:tr>
      <w:tr w:rsidR="00C83D44" w:rsidRPr="00B95586"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(специальности)</w:t>
            </w:r>
          </w:p>
        </w:tc>
        <w:tc>
          <w:tcPr>
            <w:tcW w:w="4392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45.04.01</w:t>
            </w:r>
          </w:p>
        </w:tc>
      </w:tr>
      <w:tr w:rsidR="00C83D44" w:rsidRPr="00B95586"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4392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83D44" w:rsidRPr="00B95586">
        <w:trPr>
          <w:trHeight w:val="239"/>
        </w:trPr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392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C83D44" w:rsidRPr="00B95586"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392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Очно, заочно</w:t>
            </w:r>
          </w:p>
        </w:tc>
      </w:tr>
      <w:tr w:rsidR="00C83D44" w:rsidRPr="00B95586">
        <w:trPr>
          <w:trHeight w:val="382"/>
        </w:trPr>
        <w:tc>
          <w:tcPr>
            <w:tcW w:w="4818" w:type="dxa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Год начала обучения</w:t>
            </w:r>
          </w:p>
        </w:tc>
        <w:tc>
          <w:tcPr>
            <w:tcW w:w="4392" w:type="dxa"/>
          </w:tcPr>
          <w:p w:rsidR="00C83D44" w:rsidRPr="00F50F8D" w:rsidRDefault="00C83D44" w:rsidP="00F50F8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C83D44" w:rsidRPr="002232FF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 xml:space="preserve"> </w:t>
      </w:r>
      <w:r w:rsidRPr="002232FF">
        <w:rPr>
          <w:rFonts w:ascii="Times New Roman" w:hAnsi="Times New Roman" w:cs="Times New Roman"/>
          <w:sz w:val="18"/>
          <w:szCs w:val="18"/>
        </w:rPr>
        <w:t>(указывается наименование практики)</w:t>
      </w:r>
    </w:p>
    <w:p w:rsidR="00C83D44" w:rsidRPr="002232FF" w:rsidRDefault="00C83D44" w:rsidP="00FC22DA">
      <w:pPr>
        <w:spacing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2232FF">
        <w:rPr>
          <w:rFonts w:ascii="Times New Roman" w:hAnsi="Times New Roman" w:cs="Times New Roman"/>
          <w:i/>
          <w:iCs/>
          <w:sz w:val="24"/>
          <w:szCs w:val="24"/>
        </w:rPr>
        <w:t xml:space="preserve"> Всего ЗЕТ </w:t>
      </w:r>
      <w:r w:rsidR="002232FF"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32FF"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</w:t>
      </w:r>
      <w:proofErr w:type="gramStart"/>
      <w:r w:rsidRPr="002232FF">
        <w:rPr>
          <w:rFonts w:ascii="Times New Roman" w:hAnsi="Times New Roman" w:cs="Times New Roman"/>
          <w:i/>
          <w:iCs/>
          <w:sz w:val="24"/>
          <w:szCs w:val="24"/>
        </w:rPr>
        <w:t xml:space="preserve">недель  </w:t>
      </w:r>
      <w:r w:rsidR="002232FF">
        <w:rPr>
          <w:rFonts w:ascii="Times New Roman" w:hAnsi="Times New Roman" w:cs="Times New Roman"/>
          <w:i/>
          <w:iCs/>
          <w:sz w:val="24"/>
          <w:szCs w:val="24"/>
        </w:rPr>
        <w:t>4</w:t>
      </w:r>
      <w:proofErr w:type="gramEnd"/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3D44" w:rsidRPr="00F50F8D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</w:rPr>
        <w:t>Грозный, 20</w:t>
      </w:r>
      <w:r w:rsidR="00F50F8D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C83D44" w:rsidRPr="00FC22DA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преддипломной практики </w:t>
      </w:r>
    </w:p>
    <w:p w:rsidR="00C83D44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была рассмотрена на заседании кафедры русского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языка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кафедры русской и зарубежной литературы)</w:t>
      </w:r>
    </w:p>
    <w:p w:rsidR="00C83D44" w:rsidRPr="00FC22DA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заседании кафедры </w:t>
      </w:r>
      <w:r w:rsidRPr="00FC22DA">
        <w:rPr>
          <w:rFonts w:ascii="Times New Roman" w:hAnsi="Times New Roman" w:cs="Times New Roman"/>
          <w:sz w:val="24"/>
          <w:szCs w:val="24"/>
          <w:u w:val="single"/>
        </w:rPr>
        <w:t>русской и зарубежной литературы</w:t>
      </w:r>
      <w:r w:rsidRPr="00FC22DA">
        <w:rPr>
          <w:rFonts w:ascii="Times New Roman" w:hAnsi="Times New Roman" w:cs="Times New Roman"/>
          <w:sz w:val="24"/>
          <w:szCs w:val="24"/>
        </w:rPr>
        <w:t xml:space="preserve">, рекомендована к использованию в </w:t>
      </w:r>
    </w:p>
    <w:p w:rsidR="00C83D44" w:rsidRPr="00FC22DA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</w:t>
      </w:r>
      <w:r w:rsidRPr="00FC22DA">
        <w:rPr>
          <w:rFonts w:ascii="Times New Roman" w:hAnsi="Times New Roman" w:cs="Times New Roman"/>
          <w:i/>
          <w:iCs/>
          <w:sz w:val="18"/>
          <w:szCs w:val="18"/>
        </w:rPr>
        <w:t>наименование кафедры</w:t>
      </w:r>
      <w:r w:rsidRPr="00FC22DA">
        <w:rPr>
          <w:rFonts w:ascii="Times New Roman" w:hAnsi="Times New Roman" w:cs="Times New Roman"/>
          <w:sz w:val="18"/>
          <w:szCs w:val="18"/>
        </w:rPr>
        <w:t>)</w:t>
      </w:r>
    </w:p>
    <w:p w:rsidR="00C83D44" w:rsidRPr="00FC22DA" w:rsidRDefault="00C83D44" w:rsidP="00FC22DA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учебном процессе (протокол № 1 от 7.09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2DA">
        <w:rPr>
          <w:rFonts w:ascii="Times New Roman" w:hAnsi="Times New Roman" w:cs="Times New Roman"/>
          <w:sz w:val="24"/>
          <w:szCs w:val="24"/>
        </w:rPr>
        <w:t>20</w:t>
      </w:r>
      <w:r w:rsidR="00F50F8D" w:rsidRPr="00F50F8D">
        <w:rPr>
          <w:rFonts w:ascii="Times New Roman" w:hAnsi="Times New Roman" w:cs="Times New Roman"/>
          <w:sz w:val="24"/>
          <w:szCs w:val="24"/>
        </w:rPr>
        <w:t>20</w:t>
      </w:r>
      <w:r w:rsidRPr="00FC22DA">
        <w:rPr>
          <w:rFonts w:ascii="Times New Roman" w:hAnsi="Times New Roman" w:cs="Times New Roman"/>
          <w:sz w:val="24"/>
          <w:szCs w:val="24"/>
        </w:rPr>
        <w:t>г.), составлена в соответствии с требованиями ФГОС ВО по направлению подготовки 45.04.01. Фил</w:t>
      </w:r>
      <w:r w:rsidR="00F47694">
        <w:rPr>
          <w:rFonts w:ascii="Times New Roman" w:hAnsi="Times New Roman" w:cs="Times New Roman"/>
          <w:sz w:val="24"/>
          <w:szCs w:val="24"/>
        </w:rPr>
        <w:t xml:space="preserve">ология, (степень, квалификация </w:t>
      </w:r>
      <w:r w:rsidRPr="00FC22DA">
        <w:rPr>
          <w:rFonts w:ascii="Times New Roman" w:hAnsi="Times New Roman" w:cs="Times New Roman"/>
          <w:sz w:val="24"/>
          <w:szCs w:val="24"/>
        </w:rPr>
        <w:t xml:space="preserve">-  </w:t>
      </w:r>
      <w:r w:rsidR="00904E33">
        <w:rPr>
          <w:rFonts w:ascii="Times New Roman" w:hAnsi="Times New Roman" w:cs="Times New Roman"/>
          <w:sz w:val="24"/>
          <w:szCs w:val="24"/>
        </w:rPr>
        <w:t>магистр</w:t>
      </w:r>
      <w:r w:rsidRPr="00FC22DA">
        <w:rPr>
          <w:rFonts w:ascii="Times New Roman" w:hAnsi="Times New Roman" w:cs="Times New Roman"/>
          <w:sz w:val="24"/>
          <w:szCs w:val="24"/>
        </w:rPr>
        <w:t>), утвержденного приказом Министерства образования и науки Российской Федерации от 03.11 2015 года № 1299, с учетом профиля «Русский язык», а также учебного плана по данному направлению подготовки.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Рабочая программа практики составлена: _____________ _____________________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C22D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C22DA">
        <w:rPr>
          <w:rFonts w:ascii="Times New Roman" w:hAnsi="Times New Roman" w:cs="Times New Roman"/>
          <w:sz w:val="18"/>
          <w:szCs w:val="18"/>
        </w:rPr>
        <w:t xml:space="preserve">             (расшифровка подписи)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00035065"/>
      <w:bookmarkStart w:id="2" w:name="_Toc306697541"/>
      <w:bookmarkStart w:id="3" w:name="_Toc126387393"/>
      <w:bookmarkStart w:id="4" w:name="_Toc121550104"/>
      <w:bookmarkStart w:id="5" w:name="_Toc104265130"/>
      <w:bookmarkStart w:id="6" w:name="_Toc306697544"/>
      <w:bookmarkStart w:id="7" w:name="_Toc126387396"/>
      <w:bookmarkStart w:id="8" w:name="_Toc121550107"/>
      <w:r w:rsidRPr="00FC22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Цели и задачи практики </w:t>
      </w:r>
    </w:p>
    <w:p w:rsidR="00C83D44" w:rsidRPr="00F47694" w:rsidRDefault="00C83D44" w:rsidP="00F47694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47694">
        <w:rPr>
          <w:rFonts w:ascii="Times New Roman" w:hAnsi="Times New Roman" w:cs="Times New Roman"/>
          <w:bCs/>
          <w:sz w:val="24"/>
          <w:szCs w:val="24"/>
        </w:rPr>
        <w:t xml:space="preserve">Цели </w:t>
      </w:r>
      <w:r w:rsidR="00F47694" w:rsidRPr="00F47694">
        <w:rPr>
          <w:rFonts w:ascii="Times New Roman" w:hAnsi="Times New Roman" w:cs="Times New Roman"/>
          <w:bCs/>
          <w:sz w:val="24"/>
          <w:szCs w:val="24"/>
        </w:rPr>
        <w:t>преддипломной практики</w:t>
      </w:r>
    </w:p>
    <w:p w:rsidR="00C83D44" w:rsidRPr="00542E93" w:rsidRDefault="00C83D44" w:rsidP="00F4769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2E93">
        <w:rPr>
          <w:rFonts w:ascii="Times New Roman" w:hAnsi="Times New Roman" w:cs="Times New Roman"/>
          <w:sz w:val="24"/>
          <w:szCs w:val="24"/>
        </w:rPr>
        <w:t>Цел</w:t>
      </w:r>
      <w:r w:rsidR="00690264">
        <w:rPr>
          <w:rFonts w:ascii="Times New Roman" w:hAnsi="Times New Roman" w:cs="Times New Roman"/>
          <w:sz w:val="24"/>
          <w:szCs w:val="24"/>
        </w:rPr>
        <w:t>ью</w:t>
      </w:r>
      <w:r w:rsidRPr="0054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="00F50F8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7146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42E93">
        <w:rPr>
          <w:rFonts w:ascii="Times New Roman" w:hAnsi="Times New Roman" w:cs="Times New Roman"/>
          <w:sz w:val="24"/>
          <w:szCs w:val="24"/>
        </w:rPr>
        <w:t xml:space="preserve">готовности выпускников магистратуры к решению задач научно-педагогической деятельности в области профессионального образования. Конкретные цели и задачи практики определяются требованиями ФГОС ВПО и документами ОПОП направления подготовки к профессиональной составляющей </w:t>
      </w:r>
      <w:proofErr w:type="spellStart"/>
      <w:r w:rsidRPr="00542E93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542E93">
        <w:rPr>
          <w:rFonts w:ascii="Times New Roman" w:hAnsi="Times New Roman" w:cs="Times New Roman"/>
          <w:sz w:val="24"/>
          <w:szCs w:val="24"/>
        </w:rPr>
        <w:t xml:space="preserve"> модели выпускника.</w:t>
      </w:r>
    </w:p>
    <w:p w:rsidR="00C83D44" w:rsidRPr="00F4769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7694">
        <w:rPr>
          <w:rFonts w:ascii="Times New Roman" w:hAnsi="Times New Roman" w:cs="Times New Roman"/>
          <w:bCs/>
          <w:sz w:val="24"/>
          <w:szCs w:val="24"/>
        </w:rPr>
        <w:t>Зад</w:t>
      </w:r>
      <w:r w:rsidR="00F50F8D">
        <w:rPr>
          <w:rFonts w:ascii="Times New Roman" w:hAnsi="Times New Roman" w:cs="Times New Roman"/>
          <w:sz w:val="24"/>
          <w:szCs w:val="24"/>
        </w:rPr>
        <w:t xml:space="preserve">ачи </w:t>
      </w:r>
      <w:r w:rsidRPr="00F47694">
        <w:rPr>
          <w:rFonts w:ascii="Times New Roman" w:hAnsi="Times New Roman" w:cs="Times New Roman"/>
          <w:sz w:val="24"/>
          <w:szCs w:val="24"/>
        </w:rPr>
        <w:t>преддипломной практики.</w:t>
      </w:r>
    </w:p>
    <w:p w:rsidR="00C83D44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преддипломной практики являются:</w:t>
      </w:r>
    </w:p>
    <w:p w:rsidR="00C83D44" w:rsidRPr="00436C00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C00">
        <w:rPr>
          <w:rFonts w:ascii="Times New Roman" w:hAnsi="Times New Roman" w:cs="Times New Roman"/>
          <w:sz w:val="24"/>
          <w:szCs w:val="24"/>
        </w:rPr>
        <w:t>закрепление и углубление теоретической подг</w:t>
      </w:r>
      <w:r>
        <w:rPr>
          <w:rFonts w:ascii="Times New Roman" w:hAnsi="Times New Roman" w:cs="Times New Roman"/>
          <w:sz w:val="24"/>
          <w:szCs w:val="24"/>
        </w:rPr>
        <w:t>отовки обучающихся и приобрете</w:t>
      </w:r>
      <w:r w:rsidRPr="00436C00">
        <w:rPr>
          <w:rFonts w:ascii="Times New Roman" w:hAnsi="Times New Roman" w:cs="Times New Roman"/>
          <w:sz w:val="24"/>
          <w:szCs w:val="24"/>
        </w:rPr>
        <w:t xml:space="preserve">ние ими практических навыков и компетенций в сфере </w:t>
      </w:r>
      <w:r w:rsidR="00F50F8D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деятельности; </w:t>
      </w:r>
      <w:r w:rsidRPr="00436C00">
        <w:rPr>
          <w:rFonts w:ascii="Times New Roman" w:hAnsi="Times New Roman" w:cs="Times New Roman"/>
          <w:sz w:val="24"/>
          <w:szCs w:val="24"/>
        </w:rPr>
        <w:t>приобретение навыков и умений планировани</w:t>
      </w:r>
      <w:r>
        <w:rPr>
          <w:rFonts w:ascii="Times New Roman" w:hAnsi="Times New Roman" w:cs="Times New Roman"/>
          <w:sz w:val="24"/>
          <w:szCs w:val="24"/>
        </w:rPr>
        <w:t>я, подготовки, организации и вы</w:t>
      </w:r>
      <w:r w:rsidRPr="00436C00">
        <w:rPr>
          <w:rFonts w:ascii="Times New Roman" w:hAnsi="Times New Roman" w:cs="Times New Roman"/>
          <w:sz w:val="24"/>
          <w:szCs w:val="24"/>
        </w:rPr>
        <w:t>полнения выпускной квалификационной работы, а также оформления ее результатов.  формирование профессиональных компетенций через применение полученных</w:t>
      </w:r>
      <w:r w:rsidRPr="00436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36C00">
        <w:rPr>
          <w:rFonts w:ascii="Times New Roman" w:hAnsi="Times New Roman" w:cs="Times New Roman"/>
          <w:sz w:val="24"/>
          <w:szCs w:val="24"/>
        </w:rPr>
        <w:t xml:space="preserve"> теоретических знаний, обеспечение непрерывности и последовательности овладения </w:t>
      </w:r>
      <w:proofErr w:type="spellStart"/>
      <w:r w:rsidRPr="00436C00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436C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6C00">
        <w:rPr>
          <w:rFonts w:ascii="Times New Roman" w:hAnsi="Times New Roman" w:cs="Times New Roman"/>
          <w:sz w:val="24"/>
          <w:szCs w:val="24"/>
        </w:rPr>
        <w:t>дентами</w:t>
      </w:r>
      <w:proofErr w:type="spellEnd"/>
      <w:r w:rsidRPr="00436C00">
        <w:rPr>
          <w:rFonts w:ascii="Times New Roman" w:hAnsi="Times New Roman" w:cs="Times New Roman"/>
          <w:sz w:val="24"/>
          <w:szCs w:val="24"/>
        </w:rPr>
        <w:t>-магистрантами профессиональной деятельностью;  анализ и обобщение данных научной литерат</w:t>
      </w:r>
      <w:r>
        <w:rPr>
          <w:rFonts w:ascii="Times New Roman" w:hAnsi="Times New Roman" w:cs="Times New Roman"/>
          <w:sz w:val="24"/>
          <w:szCs w:val="24"/>
        </w:rPr>
        <w:t>уры по теме выпускной квалифика</w:t>
      </w:r>
      <w:r w:rsidRPr="00436C00">
        <w:rPr>
          <w:rFonts w:ascii="Times New Roman" w:hAnsi="Times New Roman" w:cs="Times New Roman"/>
          <w:sz w:val="24"/>
          <w:szCs w:val="24"/>
        </w:rPr>
        <w:t>ционной работы, формулирование проблемы, выбор м</w:t>
      </w:r>
      <w:r>
        <w:rPr>
          <w:rFonts w:ascii="Times New Roman" w:hAnsi="Times New Roman" w:cs="Times New Roman"/>
          <w:sz w:val="24"/>
          <w:szCs w:val="24"/>
        </w:rPr>
        <w:t>етодов исследования, формулиро</w:t>
      </w:r>
      <w:r w:rsidRPr="00436C00">
        <w:rPr>
          <w:rFonts w:ascii="Times New Roman" w:hAnsi="Times New Roman" w:cs="Times New Roman"/>
          <w:sz w:val="24"/>
          <w:szCs w:val="24"/>
        </w:rPr>
        <w:t>вание ожидаемых результатов выпускной квалификационной работы;  совершенствование навыков работы с библи</w:t>
      </w:r>
      <w:r>
        <w:rPr>
          <w:rFonts w:ascii="Times New Roman" w:hAnsi="Times New Roman" w:cs="Times New Roman"/>
          <w:sz w:val="24"/>
          <w:szCs w:val="24"/>
        </w:rPr>
        <w:t xml:space="preserve">ографическими источниками,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</w:t>
      </w:r>
      <w:r w:rsidRPr="00436C00">
        <w:rPr>
          <w:rFonts w:ascii="Times New Roman" w:hAnsi="Times New Roman" w:cs="Times New Roman"/>
          <w:sz w:val="24"/>
          <w:szCs w:val="24"/>
        </w:rPr>
        <w:t>ронными</w:t>
      </w:r>
      <w:proofErr w:type="spellEnd"/>
      <w:r w:rsidRPr="00436C00">
        <w:rPr>
          <w:rFonts w:ascii="Times New Roman" w:hAnsi="Times New Roman" w:cs="Times New Roman"/>
          <w:sz w:val="24"/>
          <w:szCs w:val="24"/>
        </w:rPr>
        <w:t xml:space="preserve"> базами данных, корпусами;  закрепление навыков оформления справочного аппарата, библиографических</w:t>
      </w:r>
      <w:r w:rsidRPr="00436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36C00">
        <w:rPr>
          <w:rFonts w:ascii="Times New Roman" w:hAnsi="Times New Roman" w:cs="Times New Roman"/>
          <w:sz w:val="24"/>
          <w:szCs w:val="24"/>
        </w:rPr>
        <w:t xml:space="preserve"> списков и описаний;  совершенствование способности логически верно, аргументированно и ясно</w:t>
      </w:r>
      <w:r w:rsidRPr="00436C00">
        <w:rPr>
          <w:rFonts w:ascii="Times New Roman" w:hAnsi="Times New Roman" w:cs="Times New Roman"/>
          <w:sz w:val="24"/>
          <w:szCs w:val="24"/>
        </w:rPr>
        <w:sym w:font="Symbol" w:char="F0B7"/>
      </w:r>
      <w:r w:rsidRPr="00436C00">
        <w:rPr>
          <w:rFonts w:ascii="Times New Roman" w:hAnsi="Times New Roman" w:cs="Times New Roman"/>
          <w:sz w:val="24"/>
          <w:szCs w:val="24"/>
        </w:rPr>
        <w:t xml:space="preserve"> строить устную и письменную речь;  выработка стремления к саморазвитию, пов</w:t>
      </w:r>
      <w:r>
        <w:rPr>
          <w:rFonts w:ascii="Times New Roman" w:hAnsi="Times New Roman" w:cs="Times New Roman"/>
          <w:sz w:val="24"/>
          <w:szCs w:val="24"/>
        </w:rPr>
        <w:t>ышению своей квалификации и про</w:t>
      </w:r>
      <w:r w:rsidRPr="00436C00">
        <w:rPr>
          <w:rFonts w:ascii="Times New Roman" w:hAnsi="Times New Roman" w:cs="Times New Roman"/>
          <w:sz w:val="24"/>
          <w:szCs w:val="24"/>
        </w:rPr>
        <w:t>фессионального мастерства, воспитание исполнительск</w:t>
      </w:r>
      <w:r>
        <w:rPr>
          <w:rFonts w:ascii="Times New Roman" w:hAnsi="Times New Roman" w:cs="Times New Roman"/>
          <w:sz w:val="24"/>
          <w:szCs w:val="24"/>
        </w:rPr>
        <w:t>ой дисциплины и самостоятельно</w:t>
      </w:r>
      <w:r w:rsidRPr="00436C00">
        <w:rPr>
          <w:rFonts w:ascii="Times New Roman" w:hAnsi="Times New Roman" w:cs="Times New Roman"/>
          <w:sz w:val="24"/>
          <w:szCs w:val="24"/>
        </w:rPr>
        <w:t>сти.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2. Тип практики, способы и формы ее проведения</w:t>
      </w:r>
    </w:p>
    <w:p w:rsidR="00C83D44" w:rsidRPr="00436C00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6C00">
        <w:rPr>
          <w:rFonts w:ascii="Times New Roman" w:hAnsi="Times New Roman" w:cs="Times New Roman"/>
          <w:sz w:val="24"/>
          <w:szCs w:val="24"/>
        </w:rPr>
        <w:t xml:space="preserve">Преддипломная практика по способу проведения является стационарной. В случае </w:t>
      </w:r>
      <w:proofErr w:type="gramStart"/>
      <w:r w:rsidRPr="00436C00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436C00">
        <w:rPr>
          <w:rFonts w:ascii="Times New Roman" w:hAnsi="Times New Roman" w:cs="Times New Roman"/>
          <w:sz w:val="24"/>
          <w:szCs w:val="24"/>
        </w:rPr>
        <w:t xml:space="preserve"> обучающиеся имеют возможность выбора выездного способа проведения практики. По форме преддипломная практика является дискретной. Формы проведения преддипломной практики – это работа с научной литературой по проблеме выпускной квалификационной работы, анализ эмпирического материала, консультации с научным руководителем и ведущими специалистами, подготовка текста ВКР и оформление справочно-библиографического аппарата. Непосредственное руководство и контроль за в</w:t>
      </w:r>
      <w:r>
        <w:rPr>
          <w:rFonts w:ascii="Times New Roman" w:hAnsi="Times New Roman" w:cs="Times New Roman"/>
          <w:sz w:val="24"/>
          <w:szCs w:val="24"/>
        </w:rPr>
        <w:t>ыполнением плана практики маги</w:t>
      </w:r>
      <w:r w:rsidRPr="00436C00">
        <w:rPr>
          <w:rFonts w:ascii="Times New Roman" w:hAnsi="Times New Roman" w:cs="Times New Roman"/>
          <w:sz w:val="24"/>
          <w:szCs w:val="24"/>
        </w:rPr>
        <w:t>странта осуществляет научный руководитель, который</w:t>
      </w:r>
      <w:r>
        <w:rPr>
          <w:rFonts w:ascii="Times New Roman" w:hAnsi="Times New Roman" w:cs="Times New Roman"/>
          <w:sz w:val="24"/>
          <w:szCs w:val="24"/>
        </w:rPr>
        <w:t xml:space="preserve"> проводит необходимые организа</w:t>
      </w:r>
      <w:r w:rsidRPr="00436C00">
        <w:rPr>
          <w:rFonts w:ascii="Times New Roman" w:hAnsi="Times New Roman" w:cs="Times New Roman"/>
          <w:sz w:val="24"/>
          <w:szCs w:val="24"/>
        </w:rPr>
        <w:t>ционные мероприятия по выполнению программы практики; осуществляет постановку задач по самостоятельной работе магистрантов в пери</w:t>
      </w:r>
      <w:r>
        <w:rPr>
          <w:rFonts w:ascii="Times New Roman" w:hAnsi="Times New Roman" w:cs="Times New Roman"/>
          <w:sz w:val="24"/>
          <w:szCs w:val="24"/>
        </w:rPr>
        <w:t>од практики с выдачей индивиду</w:t>
      </w:r>
      <w:r w:rsidRPr="00436C00">
        <w:rPr>
          <w:rFonts w:ascii="Times New Roman" w:hAnsi="Times New Roman" w:cs="Times New Roman"/>
          <w:sz w:val="24"/>
          <w:szCs w:val="24"/>
        </w:rPr>
        <w:t>альных заданий, оказывает соответствующую консуль</w:t>
      </w:r>
      <w:r>
        <w:rPr>
          <w:rFonts w:ascii="Times New Roman" w:hAnsi="Times New Roman" w:cs="Times New Roman"/>
          <w:sz w:val="24"/>
          <w:szCs w:val="24"/>
        </w:rPr>
        <w:t>тационную помощь; оказывает по</w:t>
      </w:r>
      <w:r w:rsidRPr="00436C00">
        <w:rPr>
          <w:rFonts w:ascii="Times New Roman" w:hAnsi="Times New Roman" w:cs="Times New Roman"/>
          <w:sz w:val="24"/>
          <w:szCs w:val="24"/>
        </w:rPr>
        <w:t>мощь магистрантам по всем вопросам, связанным с п</w:t>
      </w:r>
      <w:r>
        <w:rPr>
          <w:rFonts w:ascii="Times New Roman" w:hAnsi="Times New Roman" w:cs="Times New Roman"/>
          <w:sz w:val="24"/>
          <w:szCs w:val="24"/>
        </w:rPr>
        <w:t>рохождением практики и оформле</w:t>
      </w:r>
      <w:r w:rsidRPr="00436C00">
        <w:rPr>
          <w:rFonts w:ascii="Times New Roman" w:hAnsi="Times New Roman" w:cs="Times New Roman"/>
          <w:sz w:val="24"/>
          <w:szCs w:val="24"/>
        </w:rPr>
        <w:t>нием отчета.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программы*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9"/>
        <w:gridCol w:w="3872"/>
      </w:tblGrid>
      <w:tr w:rsidR="00C83D44" w:rsidRPr="00B95586">
        <w:tc>
          <w:tcPr>
            <w:tcW w:w="2977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Общекультурными компетенциями (ОК)</w:t>
            </w:r>
          </w:p>
        </w:tc>
        <w:tc>
          <w:tcPr>
            <w:tcW w:w="2023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44" w:rsidRPr="00B95586">
        <w:tc>
          <w:tcPr>
            <w:tcW w:w="2977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Общепрофессиональными  компетенциями (ОПК)</w:t>
            </w:r>
          </w:p>
        </w:tc>
        <w:tc>
          <w:tcPr>
            <w:tcW w:w="2023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D44" w:rsidRPr="00B95586">
        <w:tc>
          <w:tcPr>
            <w:tcW w:w="2977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Профессиональными компетенциями (ПК)</w:t>
            </w:r>
          </w:p>
        </w:tc>
        <w:tc>
          <w:tcPr>
            <w:tcW w:w="2023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ПК-3; ПК-4;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6; ПК-7; ПК-8; ПК-9; ПК-10; ПК-11; ПК-12</w:t>
            </w:r>
          </w:p>
        </w:tc>
      </w:tr>
      <w:tr w:rsidR="00C83D44" w:rsidRPr="00B95586">
        <w:tc>
          <w:tcPr>
            <w:tcW w:w="2977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- специализированные  компетенции (ПСК)</w:t>
            </w:r>
          </w:p>
        </w:tc>
        <w:tc>
          <w:tcPr>
            <w:tcW w:w="2023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3D44" w:rsidRPr="00B95586">
        <w:tc>
          <w:tcPr>
            <w:tcW w:w="2977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Профессионально – прикладные компетенции (ППК)</w:t>
            </w:r>
          </w:p>
        </w:tc>
        <w:tc>
          <w:tcPr>
            <w:tcW w:w="2023" w:type="pc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C22DA">
        <w:rPr>
          <w:rFonts w:ascii="Times New Roman" w:hAnsi="Times New Roman" w:cs="Times New Roman"/>
          <w:sz w:val="24"/>
          <w:szCs w:val="24"/>
        </w:rPr>
        <w:t>Виды компетенций указываются в соответствии с требованиями ФГОС ВО</w:t>
      </w:r>
      <w:bookmarkEnd w:id="1"/>
      <w:bookmarkEnd w:id="2"/>
      <w:bookmarkEnd w:id="3"/>
      <w:bookmarkEnd w:id="4"/>
      <w:bookmarkEnd w:id="5"/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4. Место практики в структуре образовательной программы</w:t>
      </w:r>
    </w:p>
    <w:p w:rsidR="00C83D44" w:rsidRPr="00436C00" w:rsidRDefault="00C83D44" w:rsidP="00436C00">
      <w:pPr>
        <w:spacing w:after="100" w:afterAutospacing="1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_Toc306697542"/>
      <w:bookmarkStart w:id="10" w:name="_Toc126387394"/>
      <w:bookmarkStart w:id="11" w:name="_Toc121550105"/>
      <w:bookmarkStart w:id="12" w:name="_Toc104265131"/>
      <w:bookmarkStart w:id="13" w:name="_Toc104263949"/>
      <w:r w:rsidRPr="00436C00">
        <w:rPr>
          <w:rFonts w:ascii="Times New Roman" w:hAnsi="Times New Roman" w:cs="Times New Roman"/>
          <w:sz w:val="24"/>
          <w:szCs w:val="24"/>
        </w:rPr>
        <w:t>Преддипломная практика завершает подготовку магистра по направлению 45.04.01 «Филология». Практика проводится на 3 курсе после освоения дисциплин, включенных в учебный план и после прохождения других видов прак</w:t>
      </w:r>
      <w:r>
        <w:rPr>
          <w:rFonts w:ascii="Times New Roman" w:hAnsi="Times New Roman" w:cs="Times New Roman"/>
          <w:sz w:val="24"/>
          <w:szCs w:val="24"/>
        </w:rPr>
        <w:t>тик. Преддипломная практика ло</w:t>
      </w:r>
      <w:r w:rsidRPr="00436C00">
        <w:rPr>
          <w:rFonts w:ascii="Times New Roman" w:hAnsi="Times New Roman" w:cs="Times New Roman"/>
          <w:sz w:val="24"/>
          <w:szCs w:val="24"/>
        </w:rPr>
        <w:t>гически, содержательно, методологически связана со вс</w:t>
      </w:r>
      <w:r>
        <w:rPr>
          <w:rFonts w:ascii="Times New Roman" w:hAnsi="Times New Roman" w:cs="Times New Roman"/>
          <w:sz w:val="24"/>
          <w:szCs w:val="24"/>
        </w:rPr>
        <w:t>еми частями ОПОП, так как явля</w:t>
      </w:r>
      <w:r w:rsidRPr="00436C00">
        <w:rPr>
          <w:rFonts w:ascii="Times New Roman" w:hAnsi="Times New Roman" w:cs="Times New Roman"/>
          <w:sz w:val="24"/>
          <w:szCs w:val="24"/>
        </w:rPr>
        <w:t xml:space="preserve">ется завершающим этапом обучения, предваряющим </w:t>
      </w:r>
      <w:r>
        <w:rPr>
          <w:rFonts w:ascii="Times New Roman" w:hAnsi="Times New Roman" w:cs="Times New Roman"/>
          <w:sz w:val="24"/>
          <w:szCs w:val="24"/>
        </w:rPr>
        <w:t>защиту выпускной квалификацион</w:t>
      </w:r>
      <w:r w:rsidRPr="00436C00">
        <w:rPr>
          <w:rFonts w:ascii="Times New Roman" w:hAnsi="Times New Roman" w:cs="Times New Roman"/>
          <w:sz w:val="24"/>
          <w:szCs w:val="24"/>
        </w:rPr>
        <w:t>ной работы. Именно поэтому выполнение всех задач преддипломной практики требует опоры на компетенции, сформированные в ходе предшествующего обучения.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5. Объём практики в зачетных единицах и ее продолжительность в неделях либо в академических или астрономических часах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Объем практики в зачетных единицах и ее продолжительность в неделях либо в академических или астрономических часах:</w:t>
      </w:r>
      <w:r w:rsidRPr="00FC22DA">
        <w:rPr>
          <w:rFonts w:ascii="Times New Roman" w:hAnsi="Times New Roman" w:cs="Times New Roman"/>
          <w:sz w:val="24"/>
          <w:szCs w:val="24"/>
        </w:rPr>
        <w:t xml:space="preserve"> продолжительность, сроки прохождения и объем зачетных единиц по</w:t>
      </w:r>
      <w:r w:rsidR="00A7146A">
        <w:rPr>
          <w:rFonts w:ascii="Times New Roman" w:hAnsi="Times New Roman" w:cs="Times New Roman"/>
          <w:sz w:val="24"/>
          <w:szCs w:val="24"/>
        </w:rPr>
        <w:t xml:space="preserve"> производственной </w:t>
      </w:r>
      <w:r>
        <w:rPr>
          <w:rFonts w:ascii="Times New Roman" w:hAnsi="Times New Roman" w:cs="Times New Roman"/>
          <w:sz w:val="24"/>
          <w:szCs w:val="24"/>
        </w:rPr>
        <w:t>(педагогической) прак</w:t>
      </w:r>
      <w:r w:rsidRPr="00FC22DA">
        <w:rPr>
          <w:rFonts w:ascii="Times New Roman" w:hAnsi="Times New Roman" w:cs="Times New Roman"/>
          <w:sz w:val="24"/>
          <w:szCs w:val="24"/>
        </w:rPr>
        <w:t xml:space="preserve">тике определяется учебным планом в соответствии с ФГОС по направлению Филология.  </w:t>
      </w:r>
    </w:p>
    <w:p w:rsidR="00C83D44" w:rsidRPr="00FC22DA" w:rsidRDefault="00C83D44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Практика проводится на 2-м курсе _</w:t>
      </w:r>
      <w:r w:rsidRPr="00067C11">
        <w:rPr>
          <w:rFonts w:ascii="Times New Roman" w:hAnsi="Times New Roman" w:cs="Times New Roman"/>
          <w:sz w:val="24"/>
          <w:szCs w:val="24"/>
        </w:rPr>
        <w:t>очно</w:t>
      </w:r>
      <w:r w:rsidR="00067C11">
        <w:rPr>
          <w:rFonts w:ascii="Times New Roman" w:hAnsi="Times New Roman" w:cs="Times New Roman"/>
          <w:sz w:val="24"/>
          <w:szCs w:val="24"/>
        </w:rPr>
        <w:t>й</w:t>
      </w:r>
      <w:r w:rsidRPr="00067C11">
        <w:rPr>
          <w:rFonts w:ascii="Times New Roman" w:hAnsi="Times New Roman" w:cs="Times New Roman"/>
          <w:sz w:val="24"/>
          <w:szCs w:val="24"/>
        </w:rPr>
        <w:t>, заочно</w:t>
      </w:r>
      <w:r w:rsidR="00067C11">
        <w:rPr>
          <w:rFonts w:ascii="Times New Roman" w:hAnsi="Times New Roman" w:cs="Times New Roman"/>
          <w:sz w:val="24"/>
          <w:szCs w:val="24"/>
        </w:rPr>
        <w:t>й формы обучения</w:t>
      </w:r>
      <w:r w:rsidR="00067C11" w:rsidRPr="00067C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7C11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067C11">
        <w:rPr>
          <w:rFonts w:ascii="Times New Roman" w:hAnsi="Times New Roman" w:cs="Times New Roman"/>
          <w:sz w:val="24"/>
          <w:szCs w:val="24"/>
        </w:rPr>
        <w:t xml:space="preserve"> </w:t>
      </w:r>
      <w:r w:rsidR="0006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44" w:rsidRPr="00FC22DA" w:rsidRDefault="00C83D44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(форма обучения)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4"/>
        <w:gridCol w:w="1116"/>
        <w:gridCol w:w="1257"/>
        <w:gridCol w:w="1096"/>
      </w:tblGrid>
      <w:tr w:rsidR="00C83D44" w:rsidRPr="00B95586">
        <w:trPr>
          <w:jc w:val="center"/>
        </w:trPr>
        <w:tc>
          <w:tcPr>
            <w:tcW w:w="6404" w:type="dxa"/>
            <w:vMerge w:val="restart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учебной работы</w:t>
            </w:r>
          </w:p>
        </w:tc>
        <w:tc>
          <w:tcPr>
            <w:tcW w:w="1116" w:type="dxa"/>
            <w:vMerge w:val="restart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</w:t>
            </w:r>
          </w:p>
        </w:tc>
        <w:tc>
          <w:tcPr>
            <w:tcW w:w="1257" w:type="dxa"/>
            <w:tcBorders>
              <w:bottom w:val="nil"/>
            </w:tcBorders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Очно-заочная </w:t>
            </w:r>
          </w:p>
        </w:tc>
        <w:tc>
          <w:tcPr>
            <w:tcW w:w="1096" w:type="dxa"/>
            <w:tcBorders>
              <w:bottom w:val="nil"/>
            </w:tcBorders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Заочная</w:t>
            </w:r>
          </w:p>
        </w:tc>
      </w:tr>
      <w:tr w:rsidR="00C83D44" w:rsidRPr="00B95586">
        <w:trPr>
          <w:trHeight w:val="70"/>
          <w:jc w:val="center"/>
        </w:trPr>
        <w:tc>
          <w:tcPr>
            <w:tcW w:w="6404" w:type="dxa"/>
            <w:vMerge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83D44" w:rsidRPr="00B95586">
        <w:trPr>
          <w:jc w:val="center"/>
        </w:trPr>
        <w:tc>
          <w:tcPr>
            <w:tcW w:w="6404" w:type="dxa"/>
          </w:tcPr>
          <w:p w:rsidR="00C83D44" w:rsidRPr="00B95586" w:rsidRDefault="00C83D44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трудоемкость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11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зет)</w:t>
            </w:r>
            <w:r w:rsidRPr="00B955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7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  <w:p w:rsidR="00C83D44" w:rsidRPr="00B95586" w:rsidRDefault="00C83D44" w:rsidP="00B95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зет</w:t>
            </w:r>
            <w:r w:rsidRPr="00B955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3D44" w:rsidRPr="00B95586">
        <w:trPr>
          <w:jc w:val="center"/>
        </w:trPr>
        <w:tc>
          <w:tcPr>
            <w:tcW w:w="6404" w:type="dxa"/>
          </w:tcPr>
          <w:p w:rsidR="00C83D44" w:rsidRPr="00B95586" w:rsidRDefault="00C83D44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с преподавателем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44" w:rsidRPr="00B95586">
        <w:trPr>
          <w:jc w:val="center"/>
        </w:trPr>
        <w:tc>
          <w:tcPr>
            <w:tcW w:w="6404" w:type="dxa"/>
          </w:tcPr>
          <w:p w:rsidR="00C83D44" w:rsidRPr="00B95586" w:rsidRDefault="00C83D44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11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3D44" w:rsidRPr="00B95586">
        <w:trPr>
          <w:trHeight w:val="539"/>
          <w:jc w:val="center"/>
        </w:trPr>
        <w:tc>
          <w:tcPr>
            <w:tcW w:w="6404" w:type="dxa"/>
          </w:tcPr>
          <w:p w:rsidR="00C83D44" w:rsidRPr="00B95586" w:rsidRDefault="00C83D44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  <w:r w:rsidRPr="00B9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11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44" w:rsidRPr="00B95586">
        <w:trPr>
          <w:jc w:val="center"/>
        </w:trPr>
        <w:tc>
          <w:tcPr>
            <w:tcW w:w="6404" w:type="dxa"/>
          </w:tcPr>
          <w:p w:rsidR="00C83D44" w:rsidRPr="00B95586" w:rsidRDefault="00C83D44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под контролем преподавателя</w:t>
            </w:r>
          </w:p>
        </w:tc>
        <w:tc>
          <w:tcPr>
            <w:tcW w:w="111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57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83D44" w:rsidRPr="00B95586" w:rsidRDefault="00C83D44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</w:tbl>
    <w:p w:rsidR="00C83D44" w:rsidRPr="00FC22DA" w:rsidRDefault="00C83D44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3D44" w:rsidRPr="00FC22DA" w:rsidRDefault="00C83D44" w:rsidP="000A7297">
      <w:pPr>
        <w:spacing w:after="100" w:afterAutospacing="1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306697543"/>
      <w:bookmarkStart w:id="15" w:name="_Toc126387395"/>
      <w:bookmarkStart w:id="16" w:name="_Toc121550106"/>
      <w:bookmarkStart w:id="17" w:name="_Toc104265133"/>
      <w:bookmarkStart w:id="18" w:name="_Toc104263951"/>
      <w:bookmarkEnd w:id="9"/>
      <w:bookmarkEnd w:id="10"/>
      <w:bookmarkEnd w:id="11"/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6</w:t>
      </w: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преддипломной практики</w:t>
      </w: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3D44" w:rsidRPr="00190555" w:rsidRDefault="00C83D44" w:rsidP="001905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70"/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4569"/>
        <w:gridCol w:w="2126"/>
      </w:tblGrid>
      <w:tr w:rsidR="00C83D44" w:rsidRPr="00B95586">
        <w:trPr>
          <w:cantSplit/>
          <w:trHeight w:val="712"/>
        </w:trPr>
        <w:tc>
          <w:tcPr>
            <w:tcW w:w="828" w:type="dxa"/>
            <w:vMerge w:val="restar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" w:type="dxa"/>
            <w:vMerge w:val="restar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569" w:type="dxa"/>
            <w:vMerge w:val="restar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Виды работ, осуществляемых обучающимися</w:t>
            </w:r>
          </w:p>
        </w:tc>
        <w:tc>
          <w:tcPr>
            <w:tcW w:w="2126" w:type="dxa"/>
            <w:vMerge w:val="restart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83D44" w:rsidRPr="00B95586">
        <w:trPr>
          <w:cantSplit/>
          <w:trHeight w:val="541"/>
        </w:trPr>
        <w:tc>
          <w:tcPr>
            <w:tcW w:w="828" w:type="dxa"/>
            <w:vMerge/>
            <w:vAlign w:val="center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  <w:vAlign w:val="center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83D44" w:rsidRPr="00FC22DA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44" w:rsidRPr="00B95586">
        <w:tc>
          <w:tcPr>
            <w:tcW w:w="828" w:type="dxa"/>
          </w:tcPr>
          <w:p w:rsidR="00C83D44" w:rsidRPr="00436C00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C83D44" w:rsidRPr="00436C00" w:rsidRDefault="00C83D44" w:rsidP="00FC22DA">
            <w:pPr>
              <w:spacing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вительный этап</w:t>
            </w:r>
          </w:p>
        </w:tc>
        <w:tc>
          <w:tcPr>
            <w:tcW w:w="4569" w:type="dxa"/>
          </w:tcPr>
          <w:p w:rsidR="00C83D44" w:rsidRPr="00436C00" w:rsidRDefault="00C83D44" w:rsidP="00436C00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 xml:space="preserve">е первичной информации об 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низации работы на практике, знакомство с методиче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скими и инструктивными материа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лами, а также требованиями к отчетности. Инструктаж по технике безопасности. Ознакомительные лекции преподавателей и приглашенных специалистов, направленные на углубление и систематизацию знаний.</w:t>
            </w:r>
          </w:p>
        </w:tc>
        <w:tc>
          <w:tcPr>
            <w:tcW w:w="2126" w:type="dxa"/>
          </w:tcPr>
          <w:p w:rsidR="00067C11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ситуационных задач;</w:t>
            </w:r>
          </w:p>
          <w:p w:rsidR="00C83D44" w:rsidRPr="00436C00" w:rsidRDefault="00C83D44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1, № 2; тренинг; работа с кейсами № 1, № 2; эссе и доклад с презентацие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C83D44" w:rsidRPr="00B95586">
        <w:tc>
          <w:tcPr>
            <w:tcW w:w="828" w:type="dxa"/>
            <w:vMerge w:val="restart"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C83D44" w:rsidRPr="00436C00" w:rsidRDefault="00C83D44" w:rsidP="00EB6AAB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C83D44" w:rsidRPr="00436C00" w:rsidRDefault="00C83D44" w:rsidP="003329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4569" w:type="dxa"/>
          </w:tcPr>
          <w:p w:rsidR="00C83D44" w:rsidRPr="00436C00" w:rsidRDefault="00C83D44" w:rsidP="00937998">
            <w:pPr>
              <w:tabs>
                <w:tab w:val="num" w:pos="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Проектирование Выбор и обоснование темы, определение проблемы, объекта и предмета исследования. Составление рабочего плана и графика выполнения исследования. Подбор необходимой литературы и составление библиографии. Сбор и первичная обработка эмпирического материала, постановка задач исследования, формулирование рабочей гипотезы.</w:t>
            </w:r>
          </w:p>
        </w:tc>
        <w:tc>
          <w:tcPr>
            <w:tcW w:w="2126" w:type="dxa"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План магистерской диссертации; библиографическое описание; первичная обработка эмпирического материала.</w:t>
            </w:r>
          </w:p>
        </w:tc>
      </w:tr>
      <w:tr w:rsidR="00C83D44" w:rsidRPr="00B95586">
        <w:tc>
          <w:tcPr>
            <w:tcW w:w="828" w:type="dxa"/>
            <w:vMerge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83D44" w:rsidRPr="00436C00" w:rsidRDefault="00C83D44" w:rsidP="003329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C83D44" w:rsidRPr="00436C00" w:rsidRDefault="00C83D44" w:rsidP="00937998">
            <w:pPr>
              <w:tabs>
                <w:tab w:val="num" w:pos="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Анализ Разрабо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тка теоретической базы: рефери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рование и о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бобщение результатов исследова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ний, проведенных другими специалистами; подготовка аналитического обзора научной литературы по 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проблеме; определение мето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дологии и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 xml:space="preserve"> выбор ведущих методов исследо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вания. Анали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з эмпирического материала с ис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пользованием современных информационных технологи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й, обсуждение промежуточных ре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зультатов, 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уточнение методов и приемов ис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следования, статистическая и типологическая обработка 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информации, построе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ние концепции, формулирование предвари- тельных выводов по итогам исследования.</w:t>
            </w:r>
          </w:p>
        </w:tc>
        <w:tc>
          <w:tcPr>
            <w:tcW w:w="2126" w:type="dxa"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Реферативный обзор литературы; анализ эмпирического материала.</w:t>
            </w:r>
          </w:p>
        </w:tc>
      </w:tr>
      <w:tr w:rsidR="00C83D44" w:rsidRPr="00B95586">
        <w:tc>
          <w:tcPr>
            <w:tcW w:w="828" w:type="dxa"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080" w:type="dxa"/>
          </w:tcPr>
          <w:p w:rsidR="00C83D44" w:rsidRPr="00436C00" w:rsidRDefault="00C83D44" w:rsidP="003329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4569" w:type="dxa"/>
          </w:tcPr>
          <w:p w:rsidR="00C83D44" w:rsidRPr="00436C00" w:rsidRDefault="00C83D44" w:rsidP="00937998">
            <w:pPr>
              <w:tabs>
                <w:tab w:val="num" w:pos="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 xml:space="preserve">Синтез Оформление </w:t>
            </w:r>
            <w:r w:rsidR="00067C11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проведенного ис</w:t>
            </w: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следования, подготовка отчета по практике, выступление с фрагментами исследования на конференции по итогам практики.</w:t>
            </w:r>
          </w:p>
        </w:tc>
        <w:tc>
          <w:tcPr>
            <w:tcW w:w="2126" w:type="dxa"/>
          </w:tcPr>
          <w:p w:rsidR="00C83D44" w:rsidRPr="00436C00" w:rsidRDefault="00C83D44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00">
              <w:rPr>
                <w:rFonts w:ascii="Times New Roman" w:hAnsi="Times New Roman" w:cs="Times New Roman"/>
                <w:sz w:val="24"/>
                <w:szCs w:val="24"/>
              </w:rPr>
              <w:t>Черновой вариант ВКР. Статья и/или доклад на конференции</w:t>
            </w:r>
          </w:p>
        </w:tc>
      </w:tr>
    </w:tbl>
    <w:p w:rsidR="00C83D44" w:rsidRDefault="00C83D44" w:rsidP="00FC22DA">
      <w:pPr>
        <w:spacing w:after="100" w:afterAutospacing="1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Default="00C83D44" w:rsidP="00922470">
      <w:pPr>
        <w:spacing w:after="100" w:afterAutospacing="1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400035068"/>
      <w:r w:rsidRPr="00436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36C00">
        <w:rPr>
          <w:rFonts w:ascii="Times New Roman" w:hAnsi="Times New Roman" w:cs="Times New Roman"/>
          <w:sz w:val="24"/>
          <w:szCs w:val="24"/>
        </w:rPr>
        <w:t>Каждый этап практики предусматривает самостоятельную работу, завершающуюся выполнением профессионально ориентированного задания. Это подготовка рефератов с устной защитой, анализ кейсов, подготовка комиссион</w:t>
      </w:r>
      <w:r w:rsidR="00067C11">
        <w:rPr>
          <w:rFonts w:ascii="Times New Roman" w:hAnsi="Times New Roman" w:cs="Times New Roman"/>
          <w:sz w:val="24"/>
          <w:szCs w:val="24"/>
        </w:rPr>
        <w:t>ных фрагментов выпускной квали</w:t>
      </w:r>
      <w:r w:rsidRPr="00436C00">
        <w:rPr>
          <w:rFonts w:ascii="Times New Roman" w:hAnsi="Times New Roman" w:cs="Times New Roman"/>
          <w:sz w:val="24"/>
          <w:szCs w:val="24"/>
        </w:rPr>
        <w:t>фикационной работы и т.д.</w:t>
      </w:r>
    </w:p>
    <w:p w:rsidR="00C83D44" w:rsidRPr="000A7297" w:rsidRDefault="00C83D44" w:rsidP="00922470">
      <w:pPr>
        <w:spacing w:after="100" w:afterAutospacing="1" w:line="2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297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Промежуточная аттестация</w:t>
      </w:r>
    </w:p>
    <w:p w:rsidR="00C83D44" w:rsidRPr="000A7297" w:rsidRDefault="00C83D44" w:rsidP="000A7297">
      <w:pPr>
        <w:spacing w:after="100" w:afterAutospacing="1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297">
        <w:rPr>
          <w:rFonts w:ascii="Times New Roman" w:hAnsi="Times New Roman" w:cs="Times New Roman"/>
          <w:sz w:val="24"/>
          <w:szCs w:val="24"/>
        </w:rPr>
        <w:t>Формой промежуточной аттестации по итогам производственной практики является зачет с оценкой. Для получения зачета студент должен выполнить все задания, подготовить отчет и выступить с докладом на итоговой конференции. Отчет должен быть сдан на выпускающую кафедру в установленные сроки – в течение 10 дней после окончания практики. Отчет сдается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магистерской про</w:t>
      </w:r>
      <w:r w:rsidRPr="000A7297">
        <w:rPr>
          <w:rFonts w:ascii="Times New Roman" w:hAnsi="Times New Roman" w:cs="Times New Roman"/>
          <w:sz w:val="24"/>
          <w:szCs w:val="24"/>
        </w:rPr>
        <w:t xml:space="preserve">граммы, который знакомится с содержанием всех предоставленных материалов и дает отзыв о работе практиканта. </w:t>
      </w:r>
      <w:r w:rsidR="00753C4A">
        <w:rPr>
          <w:rFonts w:ascii="Times New Roman" w:hAnsi="Times New Roman" w:cs="Times New Roman"/>
          <w:sz w:val="24"/>
          <w:szCs w:val="24"/>
        </w:rPr>
        <w:t xml:space="preserve"> </w:t>
      </w:r>
      <w:r w:rsidRPr="000A7297">
        <w:rPr>
          <w:rFonts w:ascii="Times New Roman" w:hAnsi="Times New Roman" w:cs="Times New Roman"/>
          <w:sz w:val="24"/>
          <w:szCs w:val="24"/>
        </w:rPr>
        <w:t xml:space="preserve"> Защита отчета в форме доклада осуществляется во время проведения итоговой конференции, на которой присутствуют все студенты-магистранты и члены специальной комиссии кафедры.</w:t>
      </w:r>
    </w:p>
    <w:p w:rsidR="00C83D44" w:rsidRDefault="00C83D44" w:rsidP="00FC22DA">
      <w:pPr>
        <w:spacing w:after="100" w:afterAutospacing="1" w:line="20" w:lineRule="atLeast"/>
        <w:jc w:val="both"/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</w:pPr>
      <w:r>
        <w:rPr>
          <w:rFonts w:ascii="Times New Roman" w:hAnsi="Times New Roman" w:cs="Times New Roman"/>
          <w:b/>
          <w:bCs/>
        </w:rPr>
        <w:t xml:space="preserve">      8</w:t>
      </w:r>
      <w:r w:rsidRPr="000A7297">
        <w:rPr>
          <w:rFonts w:ascii="Times New Roman" w:hAnsi="Times New Roman" w:cs="Times New Roman"/>
          <w:b/>
          <w:bCs/>
        </w:rPr>
        <w:t>. Перечень учебной литературы и ресурсов сети "</w:t>
      </w:r>
      <w:r w:rsidRPr="00FC22DA">
        <w:rPr>
          <w:rFonts w:ascii="Times New Roman" w:hAnsi="Times New Roman" w:cs="Times New Roman"/>
          <w:b/>
          <w:bCs/>
          <w:sz w:val="24"/>
          <w:szCs w:val="24"/>
        </w:rPr>
        <w:t>Интернет", необходимых для проведения практики</w:t>
      </w:r>
      <w:r w:rsidRPr="005F3606"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  <w:t xml:space="preserve"> </w:t>
      </w:r>
    </w:p>
    <w:p w:rsidR="00C83D44" w:rsidRPr="000A7297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</w:t>
      </w:r>
      <w:r w:rsidRPr="000A72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</w:rPr>
        <w:t>8.1. Основная литература</w:t>
      </w:r>
    </w:p>
    <w:p w:rsidR="00C83D44" w:rsidRPr="005F3606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Мукашева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 А. Б. Педагогическая практика в магистратуре [Электронный ресурс</w:t>
      </w:r>
      <w:proofErr w:type="gram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методические рекомендации / А. Б. 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Мукашева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Г. А. 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Касен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Алматы :</w:t>
      </w:r>
      <w:proofErr w:type="gram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Казахский национальный университет им. аль-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Фараби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2011. — 86 c. — 978-601-247-294-3. — Режим доступа: </w:t>
      </w:r>
      <w:hyperlink r:id="rId5" w:history="1">
        <w:r w:rsidRPr="005F360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http://www.iprbookshop.ru/57562.html</w:t>
        </w:r>
      </w:hyperlink>
    </w:p>
    <w:p w:rsidR="00C83D44" w:rsidRPr="005F3606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606">
        <w:rPr>
          <w:rFonts w:ascii="Times New Roman" w:hAnsi="Times New Roman" w:cs="Times New Roman"/>
          <w:sz w:val="24"/>
          <w:szCs w:val="24"/>
        </w:rPr>
        <w:t>Журналы</w:t>
      </w:r>
    </w:p>
    <w:p w:rsidR="00C83D44" w:rsidRPr="009F5333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606">
        <w:rPr>
          <w:rFonts w:ascii="Times New Roman" w:hAnsi="Times New Roman" w:cs="Times New Roman"/>
          <w:sz w:val="24"/>
          <w:szCs w:val="24"/>
        </w:rPr>
        <w:t>1. Бюллетень науки и практики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C83D44" w:rsidRPr="00FC22DA" w:rsidRDefault="00C83D44" w:rsidP="00FC22DA">
      <w:pPr>
        <w:spacing w:after="0" w:line="240" w:lineRule="auto"/>
      </w:pP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1.Internet Explorer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2.PowerPoint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3.Microsoft Word 2010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FC22DA">
        <w:rPr>
          <w:rFonts w:ascii="Times New Roman" w:hAnsi="Times New Roman" w:cs="Times New Roman"/>
          <w:sz w:val="24"/>
          <w:szCs w:val="24"/>
        </w:rPr>
        <w:t>Проигрыватель</w:t>
      </w: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Windows Media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5. Kaspersky </w:t>
      </w:r>
      <w:proofErr w:type="spellStart"/>
      <w:r w:rsidRPr="00FC22DA">
        <w:rPr>
          <w:rFonts w:ascii="Times New Roman" w:hAnsi="Times New Roman" w:cs="Times New Roman"/>
          <w:sz w:val="24"/>
          <w:szCs w:val="24"/>
          <w:lang w:val="en-US"/>
        </w:rPr>
        <w:t>Edpoint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Security 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длябизнеса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, № </w:t>
      </w:r>
      <w:r w:rsidRPr="00FC22DA">
        <w:rPr>
          <w:rFonts w:ascii="Times New Roman" w:hAnsi="Times New Roman" w:cs="Times New Roman"/>
          <w:sz w:val="24"/>
          <w:szCs w:val="24"/>
        </w:rPr>
        <w:t>лицензии</w:t>
      </w: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– OE26-150316-124933, 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Лицензионныйдоговор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>: 1003-2015, 10.03.2015;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6. Справочная правовая система «Гарант» - договор №105-16, 11.01.2016;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7. Электронная библиотечная система «Консультант студента» - Свидетельство № 2010620618, контракт №318КС/04-2015, 05.05.2015;</w:t>
      </w:r>
    </w:p>
    <w:p w:rsidR="00C83D44" w:rsidRPr="00FC22DA" w:rsidRDefault="00C83D44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8. Универсальная база данных – Лицензионный договор № 189-П, срок действия 9 месяцев с 01.09.15,</w:t>
      </w:r>
    </w:p>
    <w:p w:rsidR="00C83D44" w:rsidRPr="00FC22DA" w:rsidRDefault="00C83D44" w:rsidP="00FC22D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9.ИВИС </w:t>
      </w:r>
      <w:bookmarkStart w:id="20" w:name="_GoBack"/>
      <w:bookmarkEnd w:id="20"/>
    </w:p>
    <w:p w:rsidR="00C83D44" w:rsidRPr="00A7146A" w:rsidRDefault="00C83D44" w:rsidP="00FC22DA">
      <w:pPr>
        <w:spacing w:after="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</w:rPr>
        <w:t>10.</w:t>
      </w:r>
      <w:proofErr w:type="spellStart"/>
      <w:r w:rsidRPr="00FC22DA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FC22DA">
        <w:rPr>
          <w:rFonts w:ascii="Times New Roman" w:hAnsi="Times New Roman" w:cs="Times New Roman"/>
          <w:sz w:val="24"/>
          <w:szCs w:val="24"/>
        </w:rPr>
        <w:t xml:space="preserve"> </w:t>
      </w:r>
      <w:r w:rsidR="00A7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22DA">
        <w:rPr>
          <w:rFonts w:ascii="Times New Roman" w:hAnsi="Times New Roman" w:cs="Times New Roman"/>
          <w:i/>
          <w:iCs/>
          <w:sz w:val="24"/>
          <w:szCs w:val="24"/>
        </w:rPr>
        <w:t>В данный раздел включается перечень программного обеспечения, используемый при прохождении практики.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22DA">
        <w:rPr>
          <w:rFonts w:ascii="Times New Roman" w:hAnsi="Times New Roman" w:cs="Times New Roman"/>
          <w:i/>
          <w:iCs/>
          <w:sz w:val="24"/>
          <w:szCs w:val="24"/>
        </w:rPr>
        <w:t>Раздел заполняется в соответствии с требованиями соответствующих разделов ФГОС ВО.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2DA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практике.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11. Описание материально-технической базы, необходимой для проведения практики</w:t>
      </w:r>
    </w:p>
    <w:p w:rsidR="00C83D44" w:rsidRPr="00FC22DA" w:rsidRDefault="00C83D44" w:rsidP="00FC22DA">
      <w:pPr>
        <w:shd w:val="clear" w:color="auto" w:fill="FFFFFF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pacing w:val="5"/>
          <w:sz w:val="24"/>
          <w:szCs w:val="24"/>
        </w:rPr>
        <w:t xml:space="preserve">В учебном </w:t>
      </w:r>
      <w:r w:rsidRPr="00FC22DA">
        <w:rPr>
          <w:rFonts w:ascii="Times New Roman" w:hAnsi="Times New Roman" w:cs="Times New Roman"/>
          <w:sz w:val="24"/>
          <w:szCs w:val="24"/>
        </w:rPr>
        <w:t>процессе для освоения дисциплины необходимо следующее материально-техническое обеспечение:</w:t>
      </w:r>
    </w:p>
    <w:p w:rsidR="00C83D44" w:rsidRPr="00FC22DA" w:rsidRDefault="00C83D44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компьютерное и мультимедийное оборудование;</w:t>
      </w:r>
    </w:p>
    <w:p w:rsidR="00C83D44" w:rsidRPr="00FC22DA" w:rsidRDefault="00C83D44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приборы и оборудование учебного назначения;</w:t>
      </w:r>
    </w:p>
    <w:p w:rsidR="00C83D44" w:rsidRPr="00FC22DA" w:rsidRDefault="00C83D44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видео- аудиовизуальные средства обучения;</w:t>
      </w:r>
    </w:p>
    <w:p w:rsidR="00C83D44" w:rsidRPr="00FC22DA" w:rsidRDefault="00C83D44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фотоаппаратура;</w:t>
      </w:r>
    </w:p>
    <w:p w:rsidR="00C83D44" w:rsidRPr="00FC22DA" w:rsidRDefault="00C83D44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принтеры и сканеры.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6"/>
    <w:bookmarkEnd w:id="7"/>
    <w:bookmarkEnd w:id="8"/>
    <w:bookmarkEnd w:id="14"/>
    <w:bookmarkEnd w:id="15"/>
    <w:bookmarkEnd w:id="16"/>
    <w:bookmarkEnd w:id="17"/>
    <w:bookmarkEnd w:id="18"/>
    <w:bookmarkEnd w:id="19"/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br w:type="page"/>
      </w:r>
      <w:bookmarkStart w:id="21" w:name="_Toc319350632"/>
      <w:bookmarkStart w:id="22" w:name="_Toc329181659"/>
      <w:bookmarkStart w:id="23" w:name="_Toc113169948"/>
      <w:bookmarkStart w:id="24" w:name="_Toc125172773"/>
      <w:bookmarkEnd w:id="21"/>
      <w:bookmarkEnd w:id="22"/>
      <w:bookmarkEnd w:id="23"/>
      <w:bookmarkEnd w:id="24"/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по направлению подготовки(специальности).</w:t>
      </w:r>
    </w:p>
    <w:p w:rsidR="00C83D44" w:rsidRPr="00FC22DA" w:rsidRDefault="00C83D44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D44" w:rsidRPr="00E12DD5" w:rsidRDefault="00C83D44" w:rsidP="00E12DD5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C83D44" w:rsidRPr="00E12DD5" w:rsidSect="0034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 w15:restartNumberingAfterBreak="0">
    <w:nsid w:val="4E6D7FC4"/>
    <w:multiLevelType w:val="hybridMultilevel"/>
    <w:tmpl w:val="79C8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EE228F"/>
    <w:multiLevelType w:val="hybridMultilevel"/>
    <w:tmpl w:val="1184575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61"/>
    <w:rsid w:val="00010DF4"/>
    <w:rsid w:val="00067C11"/>
    <w:rsid w:val="000845F4"/>
    <w:rsid w:val="000A7297"/>
    <w:rsid w:val="00176E04"/>
    <w:rsid w:val="00190555"/>
    <w:rsid w:val="001A1B61"/>
    <w:rsid w:val="001C46DF"/>
    <w:rsid w:val="001E52CF"/>
    <w:rsid w:val="00200B47"/>
    <w:rsid w:val="002232FF"/>
    <w:rsid w:val="00284E09"/>
    <w:rsid w:val="002D7FA3"/>
    <w:rsid w:val="0033295C"/>
    <w:rsid w:val="00341E5A"/>
    <w:rsid w:val="004259F4"/>
    <w:rsid w:val="00436C00"/>
    <w:rsid w:val="004806DA"/>
    <w:rsid w:val="0053098A"/>
    <w:rsid w:val="00535615"/>
    <w:rsid w:val="00542E93"/>
    <w:rsid w:val="005B0616"/>
    <w:rsid w:val="005F3606"/>
    <w:rsid w:val="00690264"/>
    <w:rsid w:val="007265A9"/>
    <w:rsid w:val="00753C4A"/>
    <w:rsid w:val="007B22EF"/>
    <w:rsid w:val="008058E6"/>
    <w:rsid w:val="008E4DEB"/>
    <w:rsid w:val="00904E33"/>
    <w:rsid w:val="00922470"/>
    <w:rsid w:val="00937998"/>
    <w:rsid w:val="009F5333"/>
    <w:rsid w:val="00A21BFA"/>
    <w:rsid w:val="00A274EF"/>
    <w:rsid w:val="00A7146A"/>
    <w:rsid w:val="00AA094E"/>
    <w:rsid w:val="00B7343F"/>
    <w:rsid w:val="00B95586"/>
    <w:rsid w:val="00BF49F5"/>
    <w:rsid w:val="00C83D44"/>
    <w:rsid w:val="00DC0A0A"/>
    <w:rsid w:val="00E12DD5"/>
    <w:rsid w:val="00E70B19"/>
    <w:rsid w:val="00EB6AAB"/>
    <w:rsid w:val="00F41428"/>
    <w:rsid w:val="00F47694"/>
    <w:rsid w:val="00F50F8D"/>
    <w:rsid w:val="00F86644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84179"/>
  <w15:docId w15:val="{B3125D66-CBC1-4B18-83D5-C0AFF6C4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16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5F360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A094E"/>
    <w:rPr>
      <w:rFonts w:ascii="Cambria" w:hAnsi="Cambria" w:cs="Cambria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FC22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F36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C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575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1221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pk13</dc:creator>
  <cp:keywords/>
  <dc:description/>
  <cp:lastModifiedBy>Пользователь</cp:lastModifiedBy>
  <cp:revision>34</cp:revision>
  <cp:lastPrinted>2019-06-06T09:04:00Z</cp:lastPrinted>
  <dcterms:created xsi:type="dcterms:W3CDTF">2019-06-03T11:08:00Z</dcterms:created>
  <dcterms:modified xsi:type="dcterms:W3CDTF">2020-12-02T11:52:00Z</dcterms:modified>
</cp:coreProperties>
</file>