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A108ED">
      <w:pPr>
        <w:spacing w:line="100" w:lineRule="atLeast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A108ED" w:rsidRPr="00E547AD">
        <w:rPr>
          <w:b/>
          <w:sz w:val="28"/>
          <w:szCs w:val="28"/>
        </w:rPr>
        <w:t xml:space="preserve">ИНОСТРАННЫЙ </w:t>
      </w:r>
      <w:r w:rsidR="00A108ED">
        <w:rPr>
          <w:b/>
          <w:sz w:val="28"/>
          <w:szCs w:val="28"/>
        </w:rPr>
        <w:t>ЯЗЫК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A108ED" w:rsidRDefault="00A108ED" w:rsidP="00A108ED">
      <w:pPr>
        <w:ind w:firstLine="709"/>
        <w:jc w:val="both"/>
        <w:rPr>
          <w:sz w:val="28"/>
          <w:szCs w:val="28"/>
        </w:rPr>
      </w:pPr>
      <w:r w:rsidRPr="002E61EE">
        <w:rPr>
          <w:sz w:val="28"/>
          <w:szCs w:val="28"/>
        </w:rPr>
        <w:t>В соответствии с учебным планом проводятся:</w:t>
      </w:r>
    </w:p>
    <w:p w:rsidR="00A108ED" w:rsidRPr="00876F9B" w:rsidRDefault="00A108ED" w:rsidP="00A108ED">
      <w:pPr>
        <w:ind w:firstLine="709"/>
        <w:jc w:val="both"/>
        <w:rPr>
          <w:sz w:val="28"/>
          <w:szCs w:val="28"/>
        </w:rPr>
      </w:pPr>
      <w:r w:rsidRPr="00876F9B">
        <w:rPr>
          <w:i/>
          <w:sz w:val="28"/>
          <w:szCs w:val="28"/>
        </w:rPr>
        <w:t xml:space="preserve">Текущий контроль </w:t>
      </w:r>
      <w:r w:rsidRPr="00876F9B">
        <w:rPr>
          <w:sz w:val="28"/>
          <w:szCs w:val="28"/>
        </w:rPr>
        <w:t>осуществляется на практических аудиторных занятиях по результатам выполнения аспирантами заданий в аудитории и дома</w:t>
      </w:r>
      <w:r>
        <w:rPr>
          <w:sz w:val="28"/>
          <w:szCs w:val="28"/>
        </w:rPr>
        <w:t xml:space="preserve"> (опрос)</w:t>
      </w:r>
      <w:r w:rsidRPr="00876F9B">
        <w:rPr>
          <w:sz w:val="28"/>
          <w:szCs w:val="28"/>
        </w:rPr>
        <w:t>.</w:t>
      </w:r>
    </w:p>
    <w:p w:rsidR="00A108ED" w:rsidRPr="00A04E04" w:rsidRDefault="00A108ED" w:rsidP="00A108ED">
      <w:pPr>
        <w:shd w:val="clear" w:color="auto" w:fill="FFFFFF"/>
        <w:ind w:firstLine="709"/>
        <w:jc w:val="both"/>
        <w:rPr>
          <w:sz w:val="28"/>
          <w:szCs w:val="28"/>
        </w:rPr>
      </w:pPr>
      <w:r w:rsidRPr="00876F9B">
        <w:rPr>
          <w:i/>
          <w:sz w:val="28"/>
          <w:szCs w:val="28"/>
        </w:rPr>
        <w:t xml:space="preserve">Промежуточный контроль </w:t>
      </w:r>
      <w:r w:rsidRPr="00876F9B">
        <w:rPr>
          <w:sz w:val="28"/>
          <w:szCs w:val="28"/>
        </w:rPr>
        <w:t xml:space="preserve">успеваемости аспирантов </w:t>
      </w:r>
      <w:r>
        <w:rPr>
          <w:sz w:val="28"/>
          <w:szCs w:val="28"/>
        </w:rPr>
        <w:t>проводится в формекандидатского</w:t>
      </w:r>
      <w:r w:rsidRPr="00876F9B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а</w:t>
      </w:r>
      <w:r w:rsidRPr="00876F9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проводится в два этапа:</w:t>
      </w:r>
      <w:r w:rsidRPr="00876F9B">
        <w:rPr>
          <w:color w:val="000000"/>
          <w:sz w:val="28"/>
          <w:szCs w:val="28"/>
        </w:rPr>
        <w:t xml:space="preserve">на </w:t>
      </w:r>
      <w:r w:rsidRPr="00876F9B">
        <w:rPr>
          <w:i/>
          <w:iCs/>
          <w:color w:val="000000"/>
          <w:sz w:val="28"/>
          <w:szCs w:val="28"/>
        </w:rPr>
        <w:t xml:space="preserve">первом этапе </w:t>
      </w:r>
      <w:r w:rsidRPr="00876F9B">
        <w:rPr>
          <w:color w:val="000000"/>
          <w:sz w:val="28"/>
          <w:szCs w:val="28"/>
        </w:rPr>
        <w:t>аспирант (</w:t>
      </w:r>
      <w:r>
        <w:rPr>
          <w:color w:val="000000"/>
          <w:sz w:val="28"/>
          <w:szCs w:val="28"/>
        </w:rPr>
        <w:t>экстерн</w:t>
      </w:r>
      <w:r w:rsidRPr="00876F9B">
        <w:rPr>
          <w:color w:val="000000"/>
          <w:sz w:val="28"/>
          <w:szCs w:val="28"/>
        </w:rPr>
        <w:t xml:space="preserve">) выполняет письменный перевод научного текста по специальности </w:t>
      </w:r>
      <w:r>
        <w:rPr>
          <w:color w:val="000000"/>
          <w:sz w:val="28"/>
          <w:szCs w:val="28"/>
        </w:rPr>
        <w:t>на язык обучения. Объем текста –</w:t>
      </w:r>
      <w:r w:rsidRPr="00876F9B">
        <w:rPr>
          <w:color w:val="000000"/>
          <w:sz w:val="28"/>
          <w:szCs w:val="28"/>
        </w:rPr>
        <w:t xml:space="preserve"> 15 000 печатных знаков.</w:t>
      </w:r>
    </w:p>
    <w:p w:rsidR="00A108ED" w:rsidRPr="0029615D" w:rsidRDefault="00A108ED" w:rsidP="00A10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6F9B">
        <w:rPr>
          <w:color w:val="000000"/>
          <w:sz w:val="28"/>
          <w:szCs w:val="28"/>
        </w:rPr>
        <w:t xml:space="preserve">Успешное выполнение письменного перевода является условием допуска ко второму этапу экзамена. Качество перевода оценивается по зачетной системе. </w:t>
      </w:r>
    </w:p>
    <w:p w:rsidR="00A108ED" w:rsidRPr="002E61EE" w:rsidRDefault="00A108ED" w:rsidP="00A108ED">
      <w:pPr>
        <w:ind w:firstLine="709"/>
        <w:jc w:val="both"/>
        <w:rPr>
          <w:sz w:val="28"/>
          <w:szCs w:val="28"/>
        </w:rPr>
      </w:pPr>
      <w:r w:rsidRPr="002E61EE">
        <w:rPr>
          <w:sz w:val="28"/>
          <w:szCs w:val="28"/>
        </w:rPr>
        <w:t>Экзамен осуществляется в форме представления аспирантом (экстерном) письменного перевода с иностранного языка на русский оригинального иноязычного текста по специальности (научная статья или фрагмент научной статьи или монографии) объемом 15 тысяч печатных знаков. Текст для перевода определяется асп</w:t>
      </w:r>
      <w:r>
        <w:rPr>
          <w:sz w:val="28"/>
          <w:szCs w:val="28"/>
        </w:rPr>
        <w:t>ирантом (экстерном) совместно сзаве</w:t>
      </w:r>
      <w:r w:rsidRPr="002E61EE">
        <w:rPr>
          <w:sz w:val="28"/>
          <w:szCs w:val="28"/>
        </w:rPr>
        <w:t>ду</w:t>
      </w:r>
      <w:r>
        <w:rPr>
          <w:sz w:val="28"/>
          <w:szCs w:val="28"/>
        </w:rPr>
        <w:t>ю</w:t>
      </w:r>
      <w:r w:rsidRPr="002E61EE">
        <w:rPr>
          <w:sz w:val="28"/>
          <w:szCs w:val="28"/>
        </w:rPr>
        <w:t xml:space="preserve">щим </w:t>
      </w:r>
      <w:r>
        <w:rPr>
          <w:sz w:val="28"/>
          <w:szCs w:val="28"/>
        </w:rPr>
        <w:t>кафедрой</w:t>
      </w:r>
      <w:r w:rsidRPr="002E61EE">
        <w:rPr>
          <w:sz w:val="28"/>
          <w:szCs w:val="28"/>
        </w:rPr>
        <w:t xml:space="preserve">. При выборе текста необходимо руководствоваться в первую очередь его аутентичностью (требования к аутентичности: автор должен являться носителем языка, характер текста должен быть строго научным), новизной и актуальностью для проводимого диссертационного исследования. Оценка – </w:t>
      </w:r>
      <w:r>
        <w:rPr>
          <w:sz w:val="28"/>
          <w:szCs w:val="28"/>
        </w:rPr>
        <w:t>зачет</w:t>
      </w:r>
      <w:r w:rsidRPr="002E61EE">
        <w:rPr>
          <w:sz w:val="28"/>
          <w:szCs w:val="28"/>
        </w:rPr>
        <w:t>.</w:t>
      </w:r>
    </w:p>
    <w:p w:rsidR="00A108ED" w:rsidRPr="00876F9B" w:rsidRDefault="00A108ED" w:rsidP="00A10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6F9B">
        <w:rPr>
          <w:i/>
          <w:iCs/>
          <w:color w:val="000000"/>
          <w:sz w:val="28"/>
          <w:szCs w:val="28"/>
        </w:rPr>
        <w:t xml:space="preserve">Второй этап </w:t>
      </w:r>
      <w:r w:rsidRPr="00876F9B">
        <w:rPr>
          <w:color w:val="000000"/>
          <w:sz w:val="28"/>
          <w:szCs w:val="28"/>
        </w:rPr>
        <w:t>экзамена проводится устно и включает в себя три задания: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 xml:space="preserve">1. Изучающее чтение оригинального </w:t>
      </w:r>
      <w:r>
        <w:rPr>
          <w:sz w:val="28"/>
          <w:szCs w:val="28"/>
        </w:rPr>
        <w:t>текста по специальности. Объем –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1500-2000 печ</w:t>
      </w:r>
      <w:r>
        <w:rPr>
          <w:sz w:val="28"/>
          <w:szCs w:val="28"/>
        </w:rPr>
        <w:t>атных знаков. Время выполнения –</w:t>
      </w:r>
      <w:r w:rsidRPr="002E61EE">
        <w:rPr>
          <w:sz w:val="28"/>
          <w:szCs w:val="28"/>
        </w:rPr>
        <w:t xml:space="preserve"> 45-60 мин.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2.Беглое (просмотровое) чтение оригинального текста по специальности.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–</w:t>
      </w:r>
      <w:r w:rsidRPr="002E61EE">
        <w:rPr>
          <w:sz w:val="28"/>
          <w:szCs w:val="28"/>
        </w:rPr>
        <w:t xml:space="preserve"> 1000-1500 печатных знаков. Время выполнения 2-3 минуты.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3. Беседа с экзаменаторами на иностранном языке по вопросам,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связанным со специальностью и научной работой аспиранта (экстерна).</w:t>
      </w:r>
    </w:p>
    <w:p w:rsidR="00A108ED" w:rsidRPr="002E61EE" w:rsidRDefault="00A108ED" w:rsidP="00A108ED">
      <w:pPr>
        <w:ind w:firstLine="708"/>
        <w:jc w:val="both"/>
        <w:rPr>
          <w:sz w:val="28"/>
          <w:szCs w:val="28"/>
        </w:rPr>
      </w:pPr>
      <w:r w:rsidRPr="002E61EE">
        <w:rPr>
          <w:sz w:val="28"/>
          <w:szCs w:val="28"/>
        </w:rPr>
        <w:t>На кандидатском экзамене аспирант (экстерн) должен продемонстрировать умение пользоваться иностранным языком как средством профессионального общения в научной сфере. Аспирант (экстерн) должен овладеть орфографической, орфоэпической, лексической и грамматической нормами изучаемого языка и правильно использовать их во всех видах речевой коммуникации, в научной сфере в форме устного и письменного общения.</w:t>
      </w:r>
    </w:p>
    <w:p w:rsidR="00A108ED" w:rsidRPr="002E61EE" w:rsidRDefault="00A108ED" w:rsidP="00A108ED">
      <w:pPr>
        <w:jc w:val="center"/>
        <w:rPr>
          <w:sz w:val="28"/>
          <w:szCs w:val="28"/>
        </w:rPr>
      </w:pPr>
      <w:r w:rsidRPr="002E61EE">
        <w:rPr>
          <w:i/>
          <w:sz w:val="28"/>
          <w:szCs w:val="28"/>
        </w:rPr>
        <w:t>Говорение</w:t>
      </w:r>
    </w:p>
    <w:p w:rsidR="00A108ED" w:rsidRPr="002E61EE" w:rsidRDefault="00A108ED" w:rsidP="00A108ED">
      <w:pPr>
        <w:ind w:firstLine="708"/>
        <w:jc w:val="both"/>
        <w:rPr>
          <w:sz w:val="28"/>
          <w:szCs w:val="28"/>
        </w:rPr>
      </w:pPr>
      <w:r w:rsidRPr="002E61EE">
        <w:rPr>
          <w:sz w:val="28"/>
          <w:szCs w:val="28"/>
        </w:rPr>
        <w:t>Оценивается содержательность, адекватная реализация коммуникативного намерения, логичность, связность, смысловая и структурная завершенность, нормативность высказывания.</w:t>
      </w:r>
    </w:p>
    <w:p w:rsidR="00A108ED" w:rsidRPr="002E61EE" w:rsidRDefault="00A108ED" w:rsidP="00A108ED">
      <w:pPr>
        <w:jc w:val="center"/>
        <w:rPr>
          <w:sz w:val="28"/>
          <w:szCs w:val="28"/>
        </w:rPr>
      </w:pPr>
      <w:r w:rsidRPr="002E61EE">
        <w:rPr>
          <w:i/>
          <w:sz w:val="28"/>
          <w:szCs w:val="28"/>
        </w:rPr>
        <w:t>Чтение</w:t>
      </w:r>
    </w:p>
    <w:p w:rsidR="00A108ED" w:rsidRPr="002E61EE" w:rsidRDefault="00A108ED" w:rsidP="00A108ED">
      <w:pPr>
        <w:ind w:firstLine="708"/>
        <w:jc w:val="both"/>
        <w:rPr>
          <w:sz w:val="28"/>
          <w:szCs w:val="28"/>
        </w:rPr>
      </w:pPr>
      <w:r w:rsidRPr="002E61EE">
        <w:rPr>
          <w:sz w:val="28"/>
          <w:szCs w:val="28"/>
        </w:rPr>
        <w:lastRenderedPageBreak/>
        <w:t>Оцениваются навыки изучающего, поискового и просмотрового чтения. Оценивается умение максимально точно и адекватно извлекать основную информацию, содержащуюся в тексте, проводить обобщение и анализ основных положений предъявленного научного текста для последующего перевода на язык обучения, а также составления резюме на иностранном языке. 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автора.</w:t>
      </w:r>
    </w:p>
    <w:p w:rsidR="00A108ED" w:rsidRPr="002E61EE" w:rsidRDefault="00A108ED" w:rsidP="00A108ED">
      <w:pPr>
        <w:jc w:val="center"/>
        <w:rPr>
          <w:sz w:val="28"/>
          <w:szCs w:val="28"/>
        </w:rPr>
      </w:pPr>
      <w:r w:rsidRPr="002E61EE">
        <w:rPr>
          <w:i/>
          <w:sz w:val="28"/>
          <w:szCs w:val="28"/>
        </w:rPr>
        <w:t>Письменный перевод</w:t>
      </w:r>
    </w:p>
    <w:p w:rsidR="00A108ED" w:rsidRPr="002E61EE" w:rsidRDefault="00A108ED" w:rsidP="00A108ED">
      <w:pPr>
        <w:ind w:firstLine="708"/>
        <w:jc w:val="both"/>
        <w:rPr>
          <w:sz w:val="28"/>
          <w:szCs w:val="28"/>
        </w:rPr>
      </w:pPr>
      <w:r w:rsidRPr="002E61EE">
        <w:rPr>
          <w:sz w:val="28"/>
          <w:szCs w:val="28"/>
        </w:rPr>
        <w:t>Письменный перевод научного текста по специальности оценивается с учетом общей адекватности перевода, то есть отсутствия смысловых искажений, соответствия норме и узусу языка перевода, включая употребление терминов.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i/>
          <w:sz w:val="28"/>
          <w:szCs w:val="28"/>
        </w:rPr>
        <w:t>Резюме</w:t>
      </w:r>
    </w:p>
    <w:p w:rsidR="00A108ED" w:rsidRPr="002E61EE" w:rsidRDefault="00A108ED" w:rsidP="00A108ED">
      <w:pPr>
        <w:ind w:firstLine="708"/>
        <w:jc w:val="both"/>
        <w:rPr>
          <w:sz w:val="28"/>
          <w:szCs w:val="28"/>
        </w:rPr>
      </w:pPr>
      <w:r w:rsidRPr="002E61EE">
        <w:rPr>
          <w:sz w:val="28"/>
          <w:szCs w:val="28"/>
        </w:rPr>
        <w:t>Резюме прочитанного текста оценивается с учетом объема и правильности извлеченной информации, адекватности реализации коммуникативного намерения, содержательности, логичности, смысловой и структурной завершенности, нормативности текста.</w:t>
      </w:r>
    </w:p>
    <w:p w:rsidR="00A108ED" w:rsidRPr="002E61EE" w:rsidRDefault="00A108ED" w:rsidP="00A108ED">
      <w:pPr>
        <w:ind w:firstLine="708"/>
        <w:jc w:val="both"/>
        <w:rPr>
          <w:sz w:val="28"/>
          <w:szCs w:val="28"/>
        </w:rPr>
      </w:pPr>
      <w:r w:rsidRPr="002E61EE">
        <w:rPr>
          <w:sz w:val="28"/>
          <w:szCs w:val="28"/>
        </w:rPr>
        <w:t>Результаты собеседования на экзамене оцениваются следующим образом: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903"/>
      </w:tblGrid>
      <w:tr w:rsidR="00A108ED" w:rsidRPr="002E61EE" w:rsidTr="0088797F">
        <w:tc>
          <w:tcPr>
            <w:tcW w:w="1951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Оценка по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дисциплине</w:t>
            </w:r>
          </w:p>
        </w:tc>
        <w:tc>
          <w:tcPr>
            <w:tcW w:w="7903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Качество знаний и навыков аспирантов</w:t>
            </w:r>
          </w:p>
        </w:tc>
      </w:tr>
      <w:tr w:rsidR="00A108ED" w:rsidRPr="002E61EE" w:rsidTr="0088797F">
        <w:tc>
          <w:tcPr>
            <w:tcW w:w="1951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«Отлично»</w:t>
            </w:r>
          </w:p>
        </w:tc>
        <w:tc>
          <w:tcPr>
            <w:tcW w:w="7903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Показаны глубокие знания лексики и грамматических структур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подъязыка специальности для адекватного восприятия информации,заложенной в профессионально ориентированном тексте. Выбраныоптимальные переводческие решения и проведено правильноеизложение перевода текста в соответствии со стилистическиминормами русского языка. Показаны прочные навыки реферативногоизложения извлеченной информации из иноязычного текста.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Показан высокий уровень владе</w:t>
            </w:r>
            <w:r>
              <w:rPr>
                <w:sz w:val="28"/>
                <w:szCs w:val="28"/>
              </w:rPr>
              <w:t>ния устной речью, обеспечивающей</w:t>
            </w:r>
            <w:r w:rsidRPr="002E61EE">
              <w:rPr>
                <w:sz w:val="28"/>
                <w:szCs w:val="28"/>
              </w:rPr>
              <w:t>иноязычную профессионально ориентированную коммуникацию всоответствии с программными требованиями, ответы на вопросылогически выстроены и убедительны.</w:t>
            </w:r>
          </w:p>
        </w:tc>
      </w:tr>
      <w:tr w:rsidR="00A108ED" w:rsidRPr="002E61EE" w:rsidTr="0088797F">
        <w:tc>
          <w:tcPr>
            <w:tcW w:w="1951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«Хорошо»</w:t>
            </w:r>
          </w:p>
        </w:tc>
        <w:tc>
          <w:tcPr>
            <w:tcW w:w="7903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Показаны достаточно уверенные умения пользоваться лексикой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подъязыка специальности и грамматическими явлениями,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необходимыми для обеспечен</w:t>
            </w:r>
            <w:r>
              <w:rPr>
                <w:sz w:val="28"/>
                <w:szCs w:val="28"/>
              </w:rPr>
              <w:t>ия общения на иностранном языке</w:t>
            </w:r>
            <w:r w:rsidRPr="002E61EE">
              <w:rPr>
                <w:sz w:val="28"/>
                <w:szCs w:val="28"/>
              </w:rPr>
              <w:t xml:space="preserve"> вобъеме программы. Задание по переводу текста выполненодостаточно точно, эквивалентно по содержанию, но имеютсянезначительные ошибки. Изложение текста перевода выполнено вцелом в соответствии со стилистическими нормами русского языка, хотя и с незначительными неточностями. Продемонстрирован высокий уровень владения устной речью с незначительными фонетическими ошибками. </w:t>
            </w:r>
            <w:r w:rsidRPr="002E61EE">
              <w:rPr>
                <w:sz w:val="28"/>
                <w:szCs w:val="28"/>
              </w:rPr>
              <w:lastRenderedPageBreak/>
              <w:t>Ответы на вопросы даются полно, но логическая последовательность не всегда соблюдается.</w:t>
            </w:r>
          </w:p>
        </w:tc>
      </w:tr>
      <w:tr w:rsidR="00A108ED" w:rsidRPr="002E61EE" w:rsidTr="0088797F">
        <w:tc>
          <w:tcPr>
            <w:tcW w:w="1951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7903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Показаны достаточно уверенные навыки пользования лексикой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подъязыка специальности, необходимой для общения, однако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проявлен недостаточный опыт в перефразировании, в активном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владении приемами синонимии, антонимии, в различении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словарного и контекстуального значения слова. Допущены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грамматические ошибки, ведущие к искажению смысла отдельных предложений. Содержание текста передано полностью, хотя допускались отдельные стилистические ошибки – буквализм, неточный подбор эквивалента и т.п. Ответы на вопросы даются в основном полно при слабой логической оформленности высказывания.</w:t>
            </w:r>
          </w:p>
        </w:tc>
      </w:tr>
      <w:tr w:rsidR="00A108ED" w:rsidRPr="002E61EE" w:rsidTr="0088797F">
        <w:tc>
          <w:tcPr>
            <w:tcW w:w="1951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«Неудовлетворительно»</w:t>
            </w:r>
          </w:p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A108ED" w:rsidRPr="002E61EE" w:rsidRDefault="00A108ED" w:rsidP="0088797F">
            <w:pPr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 xml:space="preserve">Незнание языкового материала (лексики, грамматики, фонетики). Аспирантом не достигнут даже низкий уровень развития иноязычной коммуникативной компетенции. Аспирант делает большое количество ошибок. Речь </w:t>
            </w:r>
            <w:r>
              <w:rPr>
                <w:sz w:val="28"/>
                <w:szCs w:val="28"/>
              </w:rPr>
              <w:t>аспиранта (экстерна)</w:t>
            </w:r>
            <w:r w:rsidRPr="002E61EE">
              <w:rPr>
                <w:sz w:val="28"/>
                <w:szCs w:val="28"/>
              </w:rPr>
              <w:t xml:space="preserve"> трудно понять.</w:t>
            </w:r>
          </w:p>
        </w:tc>
      </w:tr>
    </w:tbl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При трех частных оценках выставляется: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«Отлично», если в частных оценках не более одной оценки «хорошо», а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остальные «отлично».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«Хорошо», если в частных оценках не более одной оценки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«Удовлетворительно» или «отлично», а остальные «хорошо».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«Удовлетворительно», если в частных оценках не более одной оценки</w:t>
      </w:r>
    </w:p>
    <w:p w:rsidR="00A108ED" w:rsidRPr="002E61EE" w:rsidRDefault="00A108ED" w:rsidP="00A108ED">
      <w:pPr>
        <w:jc w:val="both"/>
        <w:rPr>
          <w:sz w:val="28"/>
          <w:szCs w:val="28"/>
        </w:rPr>
      </w:pPr>
      <w:r w:rsidRPr="002E61EE">
        <w:rPr>
          <w:sz w:val="28"/>
          <w:szCs w:val="28"/>
        </w:rPr>
        <w:t>«хорошо» или «отлично», а две другие «удовлетворительно».</w:t>
      </w:r>
    </w:p>
    <w:p w:rsidR="00F70CB4" w:rsidRPr="008654F4" w:rsidRDefault="00F70CB4" w:rsidP="00A108ED">
      <w:pPr>
        <w:tabs>
          <w:tab w:val="left" w:pos="1080"/>
        </w:tabs>
        <w:autoSpaceDE w:val="0"/>
        <w:autoSpaceDN w:val="0"/>
        <w:spacing w:line="360" w:lineRule="auto"/>
        <w:jc w:val="center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2B" w:rsidRDefault="006D3C2B" w:rsidP="00A76A1E">
      <w:r>
        <w:separator/>
      </w:r>
    </w:p>
  </w:endnote>
  <w:endnote w:type="continuationSeparator" w:id="0">
    <w:p w:rsidR="006D3C2B" w:rsidRDefault="006D3C2B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2B" w:rsidRDefault="006D3C2B" w:rsidP="00A76A1E">
      <w:r>
        <w:separator/>
      </w:r>
    </w:p>
  </w:footnote>
  <w:footnote w:type="continuationSeparator" w:id="0">
    <w:p w:rsidR="006D3C2B" w:rsidRDefault="006D3C2B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77572"/>
    <w:multiLevelType w:val="hybridMultilevel"/>
    <w:tmpl w:val="C118596C"/>
    <w:lvl w:ilvl="0" w:tplc="DEDAD8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AD412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E518">
      <w:start w:val="1"/>
      <w:numFmt w:val="decimal"/>
      <w:lvlRestart w:val="0"/>
      <w:lvlText w:val="%3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CBD5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6E1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8A6C0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8F1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00B4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E3484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374C0C0E"/>
    <w:multiLevelType w:val="hybridMultilevel"/>
    <w:tmpl w:val="44D86B56"/>
    <w:lvl w:ilvl="0" w:tplc="40F8C0CA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40F1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6B3E8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28B2A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67DB6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0F162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6917C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C764A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4766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3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E14EC"/>
    <w:multiLevelType w:val="hybridMultilevel"/>
    <w:tmpl w:val="C34AA6BC"/>
    <w:lvl w:ilvl="0" w:tplc="27AC34CA">
      <w:start w:val="2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83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0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EB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22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EB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4C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81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E1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5E4FA9"/>
    <w:multiLevelType w:val="hybridMultilevel"/>
    <w:tmpl w:val="A5D45374"/>
    <w:lvl w:ilvl="0" w:tplc="0E88D1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A3D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C1520">
      <w:start w:val="13"/>
      <w:numFmt w:val="decimal"/>
      <w:lvlRestart w:val="0"/>
      <w:lvlText w:val="%3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064A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6BFD0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AE7AC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910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8048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C147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6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24852"/>
    <w:multiLevelType w:val="hybridMultilevel"/>
    <w:tmpl w:val="8CBC7CFC"/>
    <w:lvl w:ilvl="0" w:tplc="636224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63D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AE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E83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40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A9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4B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48F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C5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1"/>
  </w:num>
  <w:num w:numId="3">
    <w:abstractNumId w:val="20"/>
  </w:num>
  <w:num w:numId="4">
    <w:abstractNumId w:val="15"/>
  </w:num>
  <w:num w:numId="5">
    <w:abstractNumId w:val="28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  <w:lvlOverride w:ilvl="0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26"/>
  </w:num>
  <w:num w:numId="13">
    <w:abstractNumId w:val="35"/>
  </w:num>
  <w:num w:numId="14">
    <w:abstractNumId w:val="39"/>
  </w:num>
  <w:num w:numId="15">
    <w:abstractNumId w:val="0"/>
  </w:num>
  <w:num w:numId="16">
    <w:abstractNumId w:val="32"/>
  </w:num>
  <w:num w:numId="17">
    <w:abstractNumId w:val="36"/>
  </w:num>
  <w:num w:numId="18">
    <w:abstractNumId w:val="16"/>
  </w:num>
  <w:num w:numId="19">
    <w:abstractNumId w:val="13"/>
  </w:num>
  <w:num w:numId="20">
    <w:abstractNumId w:val="33"/>
  </w:num>
  <w:num w:numId="21">
    <w:abstractNumId w:val="41"/>
  </w:num>
  <w:num w:numId="22">
    <w:abstractNumId w:val="44"/>
  </w:num>
  <w:num w:numId="23">
    <w:abstractNumId w:val="19"/>
  </w:num>
  <w:num w:numId="24">
    <w:abstractNumId w:val="1"/>
  </w:num>
  <w:num w:numId="25">
    <w:abstractNumId w:val="7"/>
  </w:num>
  <w:num w:numId="26">
    <w:abstractNumId w:val="8"/>
  </w:num>
  <w:num w:numId="27">
    <w:abstractNumId w:val="14"/>
  </w:num>
  <w:num w:numId="28">
    <w:abstractNumId w:val="11"/>
  </w:num>
  <w:num w:numId="29">
    <w:abstractNumId w:val="10"/>
  </w:num>
  <w:num w:numId="30">
    <w:abstractNumId w:val="2"/>
  </w:num>
  <w:num w:numId="31">
    <w:abstractNumId w:val="30"/>
  </w:num>
  <w:num w:numId="32">
    <w:abstractNumId w:val="29"/>
  </w:num>
  <w:num w:numId="33">
    <w:abstractNumId w:val="43"/>
  </w:num>
  <w:num w:numId="34">
    <w:abstractNumId w:val="42"/>
  </w:num>
  <w:num w:numId="35">
    <w:abstractNumId w:val="38"/>
  </w:num>
  <w:num w:numId="36">
    <w:abstractNumId w:val="17"/>
  </w:num>
  <w:num w:numId="37">
    <w:abstractNumId w:val="46"/>
  </w:num>
  <w:num w:numId="38">
    <w:abstractNumId w:val="5"/>
  </w:num>
  <w:num w:numId="39">
    <w:abstractNumId w:val="24"/>
  </w:num>
  <w:num w:numId="40">
    <w:abstractNumId w:val="37"/>
  </w:num>
  <w:num w:numId="41">
    <w:abstractNumId w:val="6"/>
  </w:num>
  <w:num w:numId="42">
    <w:abstractNumId w:val="40"/>
  </w:num>
  <w:num w:numId="43">
    <w:abstractNumId w:val="23"/>
  </w:num>
  <w:num w:numId="44">
    <w:abstractNumId w:val="21"/>
  </w:num>
  <w:num w:numId="45">
    <w:abstractNumId w:val="45"/>
  </w:num>
  <w:num w:numId="46">
    <w:abstractNumId w:val="27"/>
  </w:num>
  <w:num w:numId="47">
    <w:abstractNumId w:val="34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C630B"/>
    <w:rsid w:val="000F5F69"/>
    <w:rsid w:val="00101038"/>
    <w:rsid w:val="00137774"/>
    <w:rsid w:val="00142E07"/>
    <w:rsid w:val="001528A3"/>
    <w:rsid w:val="00163E75"/>
    <w:rsid w:val="00165328"/>
    <w:rsid w:val="00165929"/>
    <w:rsid w:val="0017667C"/>
    <w:rsid w:val="001A2271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305C4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2351"/>
    <w:rsid w:val="006C4154"/>
    <w:rsid w:val="006D0D75"/>
    <w:rsid w:val="006D3C2B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08ED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53A5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73DDC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D7199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  <w:style w:type="table" w:customStyle="1" w:styleId="TableGrid">
    <w:name w:val="TableGrid"/>
    <w:rsid w:val="00FD71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532F-8B4E-44D8-8B44-1F4DD1F0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19</cp:revision>
  <dcterms:created xsi:type="dcterms:W3CDTF">2018-10-24T09:51:00Z</dcterms:created>
  <dcterms:modified xsi:type="dcterms:W3CDTF">2020-12-02T12:44:00Z</dcterms:modified>
</cp:coreProperties>
</file>